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4B518BD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695">
        <w:rPr>
          <w:rFonts w:cs="Arial"/>
          <w:sz w:val="24"/>
          <w:szCs w:val="24"/>
        </w:rPr>
        <w:t>5</w:t>
      </w:r>
      <w:r w:rsidR="007D70A7">
        <w:rPr>
          <w:rFonts w:cs="Arial"/>
          <w:sz w:val="24"/>
          <w:szCs w:val="24"/>
        </w:rPr>
        <w:t>-</w:t>
      </w:r>
      <w:r w:rsidR="00A77BC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624285">
        <w:rPr>
          <w:rFonts w:cs="Arial"/>
          <w:color w:val="000000"/>
          <w:sz w:val="24"/>
          <w:szCs w:val="24"/>
        </w:rPr>
        <w:t>9876</w:t>
      </w:r>
    </w:p>
    <w:p w14:paraId="2700B07E" w14:textId="1102E4ED"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043CFD">
        <w:rPr>
          <w:rFonts w:eastAsia="SimSun"/>
          <w:sz w:val="24"/>
          <w:szCs w:val="24"/>
          <w:lang w:eastAsia="zh-CN"/>
        </w:rPr>
        <w:t>17 –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51163C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D0487">
        <w:rPr>
          <w:rFonts w:ascii="Arial" w:hAnsi="Arial"/>
          <w:sz w:val="24"/>
          <w:lang w:val="en-US"/>
        </w:rPr>
        <w:t>7</w:t>
      </w:r>
      <w:r w:rsidR="004E022D">
        <w:rPr>
          <w:rFonts w:ascii="Arial" w:hAnsi="Arial"/>
          <w:sz w:val="24"/>
          <w:lang w:val="en-US"/>
        </w:rPr>
        <w:t>.</w:t>
      </w:r>
      <w:r w:rsidR="005D0487">
        <w:rPr>
          <w:rFonts w:ascii="Arial" w:hAnsi="Arial"/>
          <w:sz w:val="24"/>
          <w:lang w:val="en-US"/>
        </w:rPr>
        <w:t>7</w:t>
      </w:r>
      <w:r w:rsidR="004E022D">
        <w:rPr>
          <w:rFonts w:ascii="Arial" w:hAnsi="Arial"/>
          <w:sz w:val="24"/>
          <w:lang w:val="en-US"/>
        </w:rPr>
        <w:t>.2.1.3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7D140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7315">
        <w:rPr>
          <w:rFonts w:ascii="Arial" w:hAnsi="Arial"/>
          <w:sz w:val="24"/>
          <w:lang w:val="en-US"/>
        </w:rPr>
        <w:t xml:space="preserve">On </w:t>
      </w:r>
      <w:r w:rsidR="005E35B6">
        <w:rPr>
          <w:rFonts w:ascii="Arial" w:hAnsi="Arial"/>
          <w:sz w:val="24"/>
          <w:lang w:val="en-US"/>
        </w:rPr>
        <w:t>UE Rx-Tx timing difference</w:t>
      </w:r>
      <w:r w:rsidR="00CC7315">
        <w:rPr>
          <w:rFonts w:ascii="Arial" w:hAnsi="Arial"/>
          <w:sz w:val="24"/>
          <w:lang w:val="en-US"/>
        </w:rPr>
        <w:t xml:space="preserve">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F32E383" w:rsidR="00832903" w:rsidRDefault="004F6D4B" w:rsidP="00832903">
      <w:pPr>
        <w:rPr>
          <w:lang w:val="en-US"/>
        </w:rPr>
      </w:pPr>
      <w:r>
        <w:rPr>
          <w:lang w:val="en-US"/>
        </w:rPr>
        <w:t>UE Rx-Tx timing difference measurement was discussed in RAN4#9</w:t>
      </w:r>
      <w:r w:rsidR="00043CFD">
        <w:rPr>
          <w:lang w:val="en-US"/>
        </w:rPr>
        <w:t>5</w:t>
      </w:r>
      <w:r>
        <w:rPr>
          <w:lang w:val="en-US"/>
        </w:rPr>
        <w:t>-e meeting with WF agreed in [1].</w:t>
      </w:r>
      <w:r w:rsidR="008B088A">
        <w:rPr>
          <w:lang w:val="en-US"/>
        </w:rPr>
        <w:t xml:space="preserve"> In this paper, we further discuss the following topics:</w:t>
      </w:r>
    </w:p>
    <w:p w14:paraId="52CA5538" w14:textId="28A60B06" w:rsidR="00F12490" w:rsidRDefault="00F12490" w:rsidP="00CA03BB">
      <w:pPr>
        <w:pStyle w:val="ListParagraph"/>
        <w:numPr>
          <w:ilvl w:val="0"/>
          <w:numId w:val="8"/>
        </w:numPr>
        <w:rPr>
          <w:sz w:val="20"/>
          <w:szCs w:val="20"/>
        </w:rPr>
      </w:pPr>
      <w:r w:rsidRPr="00BC41DB">
        <w:rPr>
          <w:sz w:val="20"/>
          <w:szCs w:val="20"/>
        </w:rPr>
        <w:t xml:space="preserve">Measurement capability </w:t>
      </w:r>
    </w:p>
    <w:p w14:paraId="090B9E9D" w14:textId="4644D9CD" w:rsidR="005C2401" w:rsidRPr="005C2401" w:rsidRDefault="005C2401" w:rsidP="00CA03BB">
      <w:pPr>
        <w:pStyle w:val="ListParagraph"/>
        <w:numPr>
          <w:ilvl w:val="0"/>
          <w:numId w:val="8"/>
        </w:numPr>
        <w:rPr>
          <w:sz w:val="20"/>
          <w:szCs w:val="20"/>
        </w:rPr>
      </w:pPr>
      <w:r w:rsidRPr="00BC41DB">
        <w:rPr>
          <w:sz w:val="20"/>
          <w:szCs w:val="20"/>
        </w:rPr>
        <w:t>Proximity of SRS transmission with PRS</w:t>
      </w:r>
    </w:p>
    <w:p w14:paraId="6129089C" w14:textId="1E727840" w:rsidR="00F12490" w:rsidRDefault="00BD62E5" w:rsidP="00CA03BB">
      <w:pPr>
        <w:pStyle w:val="ListParagraph"/>
        <w:numPr>
          <w:ilvl w:val="0"/>
          <w:numId w:val="8"/>
        </w:numPr>
        <w:rPr>
          <w:sz w:val="20"/>
          <w:szCs w:val="20"/>
        </w:rPr>
      </w:pPr>
      <w:r w:rsidRPr="00BC41DB">
        <w:rPr>
          <w:sz w:val="20"/>
          <w:szCs w:val="20"/>
        </w:rPr>
        <w:t xml:space="preserve">Measurement </w:t>
      </w:r>
      <w:r w:rsidR="00043CFD">
        <w:rPr>
          <w:sz w:val="20"/>
          <w:szCs w:val="20"/>
        </w:rPr>
        <w:t xml:space="preserve">period </w:t>
      </w:r>
      <w:r w:rsidRPr="00BC41DB">
        <w:rPr>
          <w:sz w:val="20"/>
          <w:szCs w:val="20"/>
        </w:rPr>
        <w:t>requirements</w:t>
      </w:r>
    </w:p>
    <w:p w14:paraId="339BEC68" w14:textId="29E1B032" w:rsidR="00043CFD" w:rsidRPr="00BC41DB" w:rsidRDefault="00043CFD" w:rsidP="00043CFD">
      <w:pPr>
        <w:pStyle w:val="ListParagraph"/>
        <w:numPr>
          <w:ilvl w:val="0"/>
          <w:numId w:val="8"/>
        </w:numPr>
        <w:rPr>
          <w:sz w:val="20"/>
          <w:szCs w:val="20"/>
        </w:rPr>
      </w:pPr>
      <w:r w:rsidRPr="00BC41DB">
        <w:rPr>
          <w:sz w:val="20"/>
          <w:szCs w:val="20"/>
        </w:rPr>
        <w:t xml:space="preserve">Measurement </w:t>
      </w:r>
      <w:r>
        <w:rPr>
          <w:sz w:val="20"/>
          <w:szCs w:val="20"/>
        </w:rPr>
        <w:t xml:space="preserve">accuracy </w:t>
      </w:r>
      <w:r w:rsidRPr="00BC41DB">
        <w:rPr>
          <w:sz w:val="20"/>
          <w:szCs w:val="20"/>
        </w:rPr>
        <w:t>requirements</w:t>
      </w:r>
    </w:p>
    <w:p w14:paraId="73270FE4" w14:textId="409EC9F5" w:rsidR="006F6BE1" w:rsidRDefault="006F6BE1" w:rsidP="006F6BE1">
      <w:pPr>
        <w:pStyle w:val="Heading1"/>
        <w:rPr>
          <w:lang w:val="en-US"/>
        </w:rPr>
      </w:pPr>
      <w:r>
        <w:rPr>
          <w:lang w:val="en-US"/>
        </w:rPr>
        <w:t xml:space="preserve">Measurement capability </w:t>
      </w:r>
    </w:p>
    <w:p w14:paraId="26B68729" w14:textId="5AF48E14" w:rsidR="004E7BBC" w:rsidRDefault="004E7BBC" w:rsidP="004E7BBC">
      <w:pPr>
        <w:rPr>
          <w:lang w:val="en-US"/>
        </w:rPr>
      </w:pPr>
      <w:r>
        <w:rPr>
          <w:lang w:val="en-US"/>
        </w:rPr>
        <w:t xml:space="preserve">With regard to whether RAN4 should define a minimum number of measurements that UE must be capable of doing, our views are expressed in [2] and we </w:t>
      </w:r>
      <w:r w:rsidR="00F947B8">
        <w:rPr>
          <w:lang w:val="en-US"/>
        </w:rPr>
        <w:t>reiterate them here:</w:t>
      </w:r>
    </w:p>
    <w:p w14:paraId="6234FEA6" w14:textId="47096567" w:rsidR="00F947B8" w:rsidRPr="00BC0DE0" w:rsidRDefault="00F947B8" w:rsidP="00F947B8">
      <w:pPr>
        <w:rPr>
          <w:b/>
          <w:bCs/>
          <w:lang w:val="en-US"/>
        </w:rPr>
      </w:pPr>
      <w:r w:rsidRPr="00BC0DE0">
        <w:rPr>
          <w:b/>
          <w:bCs/>
          <w:lang w:val="en-US"/>
        </w:rPr>
        <w:t>Observation</w:t>
      </w:r>
      <w:r>
        <w:rPr>
          <w:b/>
          <w:bCs/>
          <w:lang w:val="en-US"/>
        </w:rPr>
        <w:t xml:space="preserve"> 1</w:t>
      </w:r>
      <w:r w:rsidRPr="00BC0DE0">
        <w:rPr>
          <w:b/>
          <w:bCs/>
          <w:lang w:val="en-US"/>
        </w:rPr>
        <w:t>. Minimum capabilities defined in RAN1 are more than sufficient to make</w:t>
      </w:r>
      <w:r>
        <w:rPr>
          <w:b/>
          <w:bCs/>
          <w:lang w:val="en-US"/>
        </w:rPr>
        <w:t xml:space="preserve"> multi-RTT </w:t>
      </w:r>
      <w:r w:rsidRPr="00BC0DE0">
        <w:rPr>
          <w:b/>
          <w:bCs/>
          <w:lang w:val="en-US"/>
        </w:rPr>
        <w:t>work in any scenario.</w:t>
      </w:r>
    </w:p>
    <w:p w14:paraId="2619FE59" w14:textId="3B108461" w:rsidR="00F947B8" w:rsidRDefault="00F947B8" w:rsidP="00F947B8">
      <w:pPr>
        <w:rPr>
          <w:b/>
          <w:bCs/>
          <w:lang w:val="en-US"/>
        </w:rPr>
      </w:pPr>
      <w:r w:rsidRPr="00BC0DE0">
        <w:rPr>
          <w:b/>
          <w:bCs/>
          <w:lang w:val="en-US"/>
        </w:rPr>
        <w:t>Proposal</w:t>
      </w:r>
      <w:r>
        <w:rPr>
          <w:b/>
          <w:bCs/>
          <w:lang w:val="en-US"/>
        </w:rPr>
        <w:t xml:space="preserve"> 1</w:t>
      </w:r>
      <w:r w:rsidRPr="00BC0DE0">
        <w:rPr>
          <w:b/>
          <w:bCs/>
          <w:lang w:val="en-US"/>
        </w:rPr>
        <w:t xml:space="preserve">. RAN4 to not define a minimum value for number of </w:t>
      </w:r>
      <w:r>
        <w:rPr>
          <w:b/>
          <w:bCs/>
          <w:lang w:val="en-US"/>
        </w:rPr>
        <w:t>UE Rx-Tx</w:t>
      </w:r>
      <w:r w:rsidRPr="00BC0DE0">
        <w:rPr>
          <w:b/>
          <w:bCs/>
          <w:lang w:val="en-US"/>
        </w:rPr>
        <w:t xml:space="preserve"> measurements that UE shall be capable of reporting. </w:t>
      </w:r>
    </w:p>
    <w:p w14:paraId="7B9BFD42" w14:textId="3143D104" w:rsidR="0061005E" w:rsidRPr="00E62F31" w:rsidRDefault="00F947B8" w:rsidP="0061005E">
      <w:r>
        <w:rPr>
          <w:lang w:val="en-US"/>
        </w:rPr>
        <w:t xml:space="preserve">One issue pertaining to UE Rx-Tx time difference measurement capability is whether separate requirements should be defined for </w:t>
      </w:r>
      <w:r w:rsidR="00E62F31">
        <w:rPr>
          <w:lang w:val="en-US"/>
        </w:rPr>
        <w:t xml:space="preserve">the case </w:t>
      </w:r>
      <w:r w:rsidRPr="00F947B8">
        <w:t>where the positioning SRS resource is in a different band from PRS frequency layer</w:t>
      </w:r>
      <w:r w:rsidR="00E62F31">
        <w:t>. In our understanding, this is already decided and agreed in RAN1 UE feature list to have a separate UE capability:</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405"/>
        <w:gridCol w:w="5850"/>
        <w:gridCol w:w="1260"/>
      </w:tblGrid>
      <w:tr w:rsidR="00DA411F" w:rsidRPr="00EF3CEF" w14:paraId="293B2248" w14:textId="77777777" w:rsidTr="00F947B8">
        <w:trPr>
          <w:trHeight w:val="1549"/>
        </w:trPr>
        <w:tc>
          <w:tcPr>
            <w:tcW w:w="747" w:type="dxa"/>
            <w:tcBorders>
              <w:top w:val="single" w:sz="4" w:space="0" w:color="auto"/>
              <w:left w:val="single" w:sz="4" w:space="0" w:color="auto"/>
              <w:bottom w:val="single" w:sz="4" w:space="0" w:color="auto"/>
              <w:right w:val="single" w:sz="4" w:space="0" w:color="auto"/>
            </w:tcBorders>
          </w:tcPr>
          <w:p w14:paraId="260B601B" w14:textId="6BD68BB6" w:rsidR="00DA411F" w:rsidRPr="00DA411F" w:rsidRDefault="00DA411F" w:rsidP="009258CC">
            <w:pPr>
              <w:pStyle w:val="TAL"/>
              <w:rPr>
                <w:bCs/>
                <w:sz w:val="20"/>
              </w:rPr>
            </w:pPr>
            <w:r w:rsidRPr="00DA411F">
              <w:rPr>
                <w:bCs/>
                <w:sz w:val="20"/>
              </w:rPr>
              <w:t>13-</w:t>
            </w:r>
            <w:r w:rsidR="00F947B8">
              <w:rPr>
                <w:bCs/>
                <w:sz w:val="20"/>
              </w:rPr>
              <w:t>11a</w:t>
            </w:r>
          </w:p>
        </w:tc>
        <w:tc>
          <w:tcPr>
            <w:tcW w:w="1405" w:type="dxa"/>
            <w:tcBorders>
              <w:top w:val="single" w:sz="4" w:space="0" w:color="auto"/>
              <w:left w:val="single" w:sz="4" w:space="0" w:color="auto"/>
              <w:bottom w:val="single" w:sz="4" w:space="0" w:color="auto"/>
              <w:right w:val="single" w:sz="4" w:space="0" w:color="auto"/>
            </w:tcBorders>
          </w:tcPr>
          <w:p w14:paraId="1D72A56E" w14:textId="74BDAA24" w:rsidR="00DA411F" w:rsidRPr="00F947B8" w:rsidRDefault="00F947B8" w:rsidP="009258CC">
            <w:pPr>
              <w:pStyle w:val="TAL"/>
              <w:rPr>
                <w:bCs/>
                <w:sz w:val="20"/>
              </w:rPr>
            </w:pPr>
            <w:r w:rsidRPr="00F947B8">
              <w:rPr>
                <w:color w:val="000000"/>
                <w:sz w:val="20"/>
              </w:rPr>
              <w:t>Association between SRS for positioning and DL PRS for Multi-RTT</w:t>
            </w:r>
          </w:p>
        </w:tc>
        <w:tc>
          <w:tcPr>
            <w:tcW w:w="5850" w:type="dxa"/>
            <w:tcBorders>
              <w:top w:val="single" w:sz="4" w:space="0" w:color="auto"/>
              <w:left w:val="single" w:sz="4" w:space="0" w:color="auto"/>
              <w:bottom w:val="single" w:sz="4" w:space="0" w:color="auto"/>
              <w:right w:val="single" w:sz="4" w:space="0" w:color="auto"/>
            </w:tcBorders>
          </w:tcPr>
          <w:p w14:paraId="2EA924C2" w14:textId="7B774B7F" w:rsidR="00DA411F" w:rsidRPr="00F947B8" w:rsidRDefault="00F947B8" w:rsidP="00F947B8">
            <w:pPr>
              <w:pStyle w:val="TAL"/>
              <w:spacing w:after="160" w:line="259" w:lineRule="auto"/>
              <w:rPr>
                <w:rFonts w:asciiTheme="majorHAnsi" w:eastAsia="SimSun" w:hAnsiTheme="majorHAnsi" w:cstheme="majorHAnsi"/>
                <w:sz w:val="20"/>
                <w:lang w:val="en-US"/>
              </w:rPr>
            </w:pPr>
            <w:r w:rsidRPr="00F947B8">
              <w:rPr>
                <w:color w:val="000000"/>
                <w:sz w:val="20"/>
              </w:rPr>
              <w:t>1. Support of measurements derived on one or more DL PRS resource/resource sets which may be in different positioning frequency layers for SRS transmitted in a single CC. Note: PRS and SRS may be in a different band</w:t>
            </w:r>
          </w:p>
        </w:tc>
        <w:tc>
          <w:tcPr>
            <w:tcW w:w="1260" w:type="dxa"/>
            <w:tcBorders>
              <w:top w:val="single" w:sz="4" w:space="0" w:color="auto"/>
              <w:left w:val="single" w:sz="4" w:space="0" w:color="auto"/>
              <w:bottom w:val="single" w:sz="4" w:space="0" w:color="auto"/>
              <w:right w:val="single" w:sz="4" w:space="0" w:color="auto"/>
            </w:tcBorders>
          </w:tcPr>
          <w:p w14:paraId="256B8788" w14:textId="77777777" w:rsidR="00DA411F" w:rsidRPr="00DA411F" w:rsidRDefault="00DA411F" w:rsidP="009258CC">
            <w:pPr>
              <w:pStyle w:val="TAL"/>
              <w:rPr>
                <w:bCs/>
                <w:sz w:val="20"/>
              </w:rPr>
            </w:pPr>
            <w:r w:rsidRPr="00DA411F">
              <w:rPr>
                <w:bCs/>
                <w:sz w:val="20"/>
              </w:rPr>
              <w:t>Optional with capability signaling</w:t>
            </w:r>
          </w:p>
        </w:tc>
      </w:tr>
    </w:tbl>
    <w:p w14:paraId="1BEFD18E" w14:textId="192AB1DC" w:rsidR="006F6BE1" w:rsidRDefault="006F6BE1" w:rsidP="006F6BE1">
      <w:pPr>
        <w:rPr>
          <w:lang w:val="en-US"/>
        </w:rPr>
      </w:pPr>
    </w:p>
    <w:p w14:paraId="43376CAE" w14:textId="012F1B23" w:rsidR="00206577" w:rsidRDefault="00E62F31" w:rsidP="00206577">
      <w:pPr>
        <w:rPr>
          <w:lang w:val="en-US"/>
        </w:rPr>
      </w:pPr>
      <w:r>
        <w:rPr>
          <w:lang w:val="en-US"/>
        </w:rPr>
        <w:t>Therefore, the basic set of requirements for UE Rx-Tx time difference should be based on the basic UE capability that assumes positioning SRS resource are in the same band as PRS frequency layer. RAN4 can discuss whether to define requirements for the case when positioning SRS resource is in different band from PRS frequency layer.</w:t>
      </w:r>
    </w:p>
    <w:p w14:paraId="6E8F06DA" w14:textId="3FC9A510" w:rsidR="00E62F31" w:rsidRPr="00E62F31" w:rsidRDefault="00E62F31" w:rsidP="00206577">
      <w:pPr>
        <w:rPr>
          <w:b/>
          <w:bCs/>
          <w:lang w:val="en-US"/>
        </w:rPr>
      </w:pPr>
      <w:r w:rsidRPr="00E62F31">
        <w:rPr>
          <w:b/>
          <w:bCs/>
          <w:lang w:val="en-US"/>
        </w:rPr>
        <w:t xml:space="preserve">Proposal 2. Basic requirements for UE Rx-Tx time difference measurements shall be based on the assumption that positioning SRS resources are in the same band as PRS frequency layers. </w:t>
      </w:r>
    </w:p>
    <w:p w14:paraId="21FEA9F1" w14:textId="05CB5EE0" w:rsidR="00810F2A" w:rsidRPr="00852EE0" w:rsidRDefault="00810F2A" w:rsidP="00810F2A">
      <w:pPr>
        <w:pStyle w:val="Heading1"/>
        <w:rPr>
          <w:lang w:val="en-US"/>
        </w:rPr>
      </w:pPr>
      <w:r>
        <w:rPr>
          <w:lang w:val="en-US"/>
        </w:rPr>
        <w:lastRenderedPageBreak/>
        <w:t>Proximity of SRS transmission with PRS reception</w:t>
      </w:r>
    </w:p>
    <w:p w14:paraId="7F5D41EF" w14:textId="09C8F9BE" w:rsidR="00810F2A" w:rsidRDefault="00810F2A" w:rsidP="00810F2A">
      <w:pPr>
        <w:rPr>
          <w:b/>
          <w:bCs/>
          <w:lang w:val="en-US"/>
        </w:rPr>
      </w:pPr>
      <w:r w:rsidRPr="0074147F">
        <w:rPr>
          <w:noProof/>
          <w:lang w:val="en-US" w:eastAsia="zh-CN"/>
        </w:rPr>
        <mc:AlternateContent>
          <mc:Choice Requires="wps">
            <w:drawing>
              <wp:inline distT="0" distB="0" distL="0" distR="0" wp14:anchorId="067EB119" wp14:editId="29D41E1C">
                <wp:extent cx="5881420" cy="23526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52675"/>
                        </a:xfrm>
                        <a:prstGeom prst="rect">
                          <a:avLst/>
                        </a:prstGeom>
                        <a:solidFill>
                          <a:srgbClr val="FFFFFF"/>
                        </a:solidFill>
                        <a:ln w="9525">
                          <a:solidFill>
                            <a:srgbClr val="000000"/>
                          </a:solidFill>
                          <a:miter lim="800000"/>
                          <a:headEnd/>
                          <a:tailEnd/>
                        </a:ln>
                      </wps:spPr>
                      <wps:txbx>
                        <w:txbxContent>
                          <w:p w14:paraId="60276EF3" w14:textId="77777777" w:rsidR="00E62F31" w:rsidRPr="00E62F31" w:rsidRDefault="00E62F31" w:rsidP="00E62F31">
                            <w:pPr>
                              <w:numPr>
                                <w:ilvl w:val="0"/>
                                <w:numId w:val="25"/>
                              </w:numPr>
                              <w:tabs>
                                <w:tab w:val="num" w:pos="720"/>
                              </w:tabs>
                              <w:rPr>
                                <w:rFonts w:eastAsia="Batang"/>
                                <w:b/>
                                <w:bCs/>
                                <w:lang w:val="en-US" w:eastAsia="zh-CN"/>
                              </w:rPr>
                            </w:pPr>
                            <w:r w:rsidRPr="00E62F31">
                              <w:rPr>
                                <w:rFonts w:eastAsia="Batang"/>
                                <w:b/>
                                <w:bCs/>
                                <w:lang w:val="en-US" w:eastAsia="zh-CN"/>
                              </w:rPr>
                              <w:t>FFS: Proximity between SRS and PRS</w:t>
                            </w:r>
                          </w:p>
                          <w:p w14:paraId="63D85397"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Option 1.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w:t>
                            </w:r>
                          </w:p>
                          <w:p w14:paraId="7D0BB699"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Option 2. Rx-Tx timing difference measurement period requirements apply provided that there is at least one SRS transmission within the measurement period.</w:t>
                            </w:r>
                          </w:p>
                          <w:p w14:paraId="4568F741"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w:t>
                            </w:r>
                          </w:p>
                          <w:p w14:paraId="66E25333"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Other options not precluded</w:t>
                            </w:r>
                          </w:p>
                          <w:p w14:paraId="2C0AA8DF" w14:textId="77777777" w:rsidR="00810F2A" w:rsidRPr="009C5EB9" w:rsidRDefault="00810F2A" w:rsidP="00810F2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067EB119" id="_x0000_t202" coordsize="21600,21600" o:spt="202" path="m,l,21600r21600,l21600,xe">
                <v:stroke joinstyle="miter"/>
                <v:path gradientshapeok="t" o:connecttype="rect"/>
              </v:shapetype>
              <v:shape id="Text Box 1" o:spid="_x0000_s1026" type="#_x0000_t202" style="width:463.1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">
                <v:textbox>
                  <w:txbxContent>
                    <w:p w14:paraId="60276EF3" w14:textId="77777777" w:rsidR="00E62F31" w:rsidRPr="00E62F31" w:rsidRDefault="00E62F31" w:rsidP="00E62F31">
                      <w:pPr>
                        <w:numPr>
                          <w:ilvl w:val="0"/>
                          <w:numId w:val="25"/>
                        </w:numPr>
                        <w:tabs>
                          <w:tab w:val="num" w:pos="720"/>
                        </w:tabs>
                        <w:rPr>
                          <w:rFonts w:eastAsia="Batang"/>
                          <w:b/>
                          <w:bCs/>
                          <w:lang w:val="en-US" w:eastAsia="zh-CN"/>
                        </w:rPr>
                      </w:pPr>
                      <w:r w:rsidRPr="00E62F31">
                        <w:rPr>
                          <w:rFonts w:eastAsia="Batang"/>
                          <w:b/>
                          <w:bCs/>
                          <w:lang w:val="en-US" w:eastAsia="zh-CN"/>
                        </w:rPr>
                        <w:t>FFS: Proximity between SRS and PRS</w:t>
                      </w:r>
                    </w:p>
                    <w:p w14:paraId="63D85397"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Option 1.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w:t>
                      </w:r>
                    </w:p>
                    <w:p w14:paraId="7D0BB699"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Option 2. Rx-Tx timing difference measurement period requirements apply provided that there is at least one SRS transmission within the measurement period.</w:t>
                      </w:r>
                    </w:p>
                    <w:p w14:paraId="4568F741"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w:t>
                      </w:r>
                    </w:p>
                    <w:p w14:paraId="66E25333" w14:textId="77777777" w:rsidR="00E62F31" w:rsidRPr="00E62F31" w:rsidRDefault="00E62F31" w:rsidP="00E62F31">
                      <w:pPr>
                        <w:numPr>
                          <w:ilvl w:val="1"/>
                          <w:numId w:val="25"/>
                        </w:numPr>
                        <w:tabs>
                          <w:tab w:val="num" w:pos="1440"/>
                        </w:tabs>
                        <w:rPr>
                          <w:rFonts w:eastAsia="Batang"/>
                          <w:b/>
                          <w:bCs/>
                          <w:lang w:val="en-US" w:eastAsia="zh-CN"/>
                        </w:rPr>
                      </w:pPr>
                      <w:r w:rsidRPr="00E62F31">
                        <w:rPr>
                          <w:rFonts w:eastAsia="Batang"/>
                          <w:b/>
                          <w:bCs/>
                          <w:lang w:val="en-US" w:eastAsia="zh-CN"/>
                        </w:rPr>
                        <w:t>Other options not precluded</w:t>
                      </w:r>
                    </w:p>
                    <w:p w14:paraId="2C0AA8DF" w14:textId="77777777" w:rsidR="00810F2A" w:rsidRPr="009C5EB9" w:rsidRDefault="00810F2A" w:rsidP="00810F2A">
                      <w:pPr>
                        <w:rPr>
                          <w:rFonts w:eastAsia="Batang"/>
                          <w:b/>
                          <w:lang w:eastAsia="zh-CN"/>
                        </w:rPr>
                      </w:pPr>
                    </w:p>
                  </w:txbxContent>
                </v:textbox>
                <w10:anchorlock/>
              </v:shape>
            </w:pict>
          </mc:Fallback>
        </mc:AlternateContent>
      </w:r>
    </w:p>
    <w:p w14:paraId="5F8D6B59" w14:textId="77777777" w:rsidR="007B35B1" w:rsidRDefault="003724AB" w:rsidP="003724AB">
      <w:r>
        <w:t xml:space="preserve">Ideally, all measurements used in generating a positioning fix should be made concurrently. If measurements are performed at different points in time for generating a position fix, UE motion as well as changes to UE clock and gNB clocks result in measurement errors that ultimately can produce position errors. For instance, traveling at highway speed of 30 m/s can result in a 1 s * 30 m/s = 30 m measurement error if two measurements are performed 1 second apart.  </w:t>
      </w:r>
    </w:p>
    <w:p w14:paraId="1D3154F5" w14:textId="72651D67" w:rsidR="007B35B1" w:rsidRDefault="007B35B1" w:rsidP="003724AB">
      <w:r>
        <w:t xml:space="preserve">More importantly, the UE and gNB clock drift </w:t>
      </w:r>
      <w:r w:rsidR="00802CB4">
        <w:t xml:space="preserve">can produce errors in timing measurements as </w:t>
      </w:r>
      <w:r w:rsidR="00D03AD5">
        <w:t xml:space="preserve">explained below. Figure 1 illustrates an example of PRS reception with SRS transmission timeline where PRS periodicity is half of SRS periodicity. For Rx-Tx timing difference measurements </w:t>
      </w:r>
      <w:r w:rsidR="00711272">
        <w:t xml:space="preserve">corresponding to PRS instance </w:t>
      </w:r>
      <w:r w:rsidR="0097765B">
        <w:t>#0, SRS instance #0 is used</w:t>
      </w:r>
      <w:r w:rsidR="00085BB9">
        <w:t xml:space="preserve">. Similarly, for </w:t>
      </w:r>
      <w:r w:rsidR="008D369F">
        <w:t xml:space="preserve">Rx-Tx timing difference measurements corresponding to PRS instance #2, SRS instance #2 is used. However, </w:t>
      </w:r>
      <w:r w:rsidR="00C754A8">
        <w:t xml:space="preserve">for Rx-Tx timing difference measurements corresponding to PRS instance #1, either SRS instance#0 or #1 should be used which </w:t>
      </w:r>
      <w:r w:rsidR="006B6206">
        <w:t xml:space="preserve">can have degraded accuracy due to </w:t>
      </w:r>
      <w:r w:rsidR="009B683A">
        <w:t xml:space="preserve">long time lapse between PRS reception and SRS transmission and impact of clock drifts. </w:t>
      </w:r>
    </w:p>
    <w:p w14:paraId="2CEFB421" w14:textId="77777777" w:rsidR="00A32719" w:rsidRDefault="005F1547" w:rsidP="00A32719">
      <w:pPr>
        <w:keepNext/>
        <w:jc w:val="center"/>
      </w:pPr>
      <w:r>
        <w:object w:dxaOrig="6751" w:dyaOrig="2585" w14:anchorId="020EB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29pt" o:ole="">
            <v:imagedata r:id="rId8" o:title=""/>
          </v:shape>
          <o:OLEObject Type="Embed" ProgID="Visio.Drawing.11" ShapeID="_x0000_i1025" DrawAspect="Content" ObjectID="_1658230319" r:id="rId9"/>
        </w:object>
      </w:r>
    </w:p>
    <w:p w14:paraId="2C25E118" w14:textId="176969A8" w:rsidR="008C06A7" w:rsidRDefault="00A32719" w:rsidP="00A3271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Proximity of PRS reception and SRS transmission</w:t>
      </w:r>
      <w:r w:rsidR="00B15EB3">
        <w:t xml:space="preserve"> in UE Rx-Tx timing difference measurements</w:t>
      </w:r>
    </w:p>
    <w:p w14:paraId="420701B0" w14:textId="21D8847F" w:rsidR="008A3A0C" w:rsidRDefault="008A3A0C" w:rsidP="008A3A0C"/>
    <w:p w14:paraId="0A5FC186" w14:textId="7A41BA3F" w:rsidR="008A3A0C" w:rsidRDefault="00BB47E5" w:rsidP="008A3A0C">
      <w:r>
        <w:t xml:space="preserve">To quantify the impact of clock drift, </w:t>
      </w:r>
      <w:r w:rsidR="00AA5A2C">
        <w:t xml:space="preserve">the transmit </w:t>
      </w:r>
      <w:r w:rsidR="00F52792">
        <w:t>signal quality</w:t>
      </w:r>
      <w:r w:rsidR="00125453">
        <w:t xml:space="preserve"> and timing error requirements should be </w:t>
      </w:r>
      <w:r w:rsidR="00592556">
        <w:t xml:space="preserve">looked at. Transmit timing error requirements in clause </w:t>
      </w:r>
      <w:r w:rsidR="00627790">
        <w:t xml:space="preserve">7.1.2 of TS 38.133 </w:t>
      </w:r>
      <w:r w:rsidR="00B26C80">
        <w:t>is on the order of several Tc</w:t>
      </w:r>
      <w:r w:rsidR="002E7FFE">
        <w:t xml:space="preserve">. </w:t>
      </w:r>
      <w:r w:rsidR="004257CB">
        <w:t xml:space="preserve">For instance, </w:t>
      </w:r>
      <w:r w:rsidR="00BE1176">
        <w:t xml:space="preserve">the UE transmit timing </w:t>
      </w:r>
      <w:r w:rsidR="003E14B6">
        <w:t xml:space="preserve">can drift from the beginning of the </w:t>
      </w:r>
      <w:r w:rsidR="005E6588">
        <w:t xml:space="preserve">positioning measurements with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=-12.64.</m:t>
        </m:r>
        <m:sSub>
          <m:sSubPr>
            <m:ctrlPr>
              <w:rPr>
                <w:rFonts w:ascii="Cambria Math" w:hAnsi="Cambria Math"/>
                <w:i/>
              </w:rPr>
            </m:ctrlPr>
          </m:sSubPr>
          <m:e>
            <m:r>
              <w:rPr>
                <w:rFonts w:ascii="Cambria Math" w:hAnsi="Cambria Math"/>
              </w:rPr>
              <m:t>T</m:t>
            </m:r>
          </m:e>
          <m:sub>
            <m:r>
              <w:rPr>
                <w:rFonts w:ascii="Cambria Math" w:hAnsi="Cambria Math"/>
              </w:rPr>
              <m:t>c</m:t>
            </m:r>
          </m:sub>
        </m:sSub>
      </m:oMath>
      <w:r w:rsidR="007849F6">
        <w:t xml:space="preserve"> to</w:t>
      </w:r>
      <w:r w:rsidR="00AB2B73">
        <w:t xml:space="preserve"> the end of </w:t>
      </w:r>
      <w:r w:rsidR="00CD14AE">
        <w:t>the positioning measurement with</w:t>
      </w:r>
      <w:r w:rsidR="007849F6">
        <w:t xml:space="preserve">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=12.64.</m:t>
        </m:r>
        <m:sSub>
          <m:sSubPr>
            <m:ctrlPr>
              <w:rPr>
                <w:rFonts w:ascii="Cambria Math" w:hAnsi="Cambria Math"/>
                <w:i/>
              </w:rPr>
            </m:ctrlPr>
          </m:sSubPr>
          <m:e>
            <m:r>
              <w:rPr>
                <w:rFonts w:ascii="Cambria Math" w:hAnsi="Cambria Math"/>
              </w:rPr>
              <m:t>T</m:t>
            </m:r>
          </m:e>
          <m:sub>
            <m:r>
              <w:rPr>
                <w:rFonts w:ascii="Cambria Math" w:hAnsi="Cambria Math"/>
              </w:rPr>
              <m:t>c</m:t>
            </m:r>
          </m:sub>
        </m:sSub>
      </m:oMath>
      <w:r w:rsidR="00C03C27">
        <w:t xml:space="preserve"> at </w:t>
      </w:r>
      <w:r w:rsidR="0091523C">
        <w:t xml:space="preserve">15 kHz SCS </w:t>
      </w:r>
      <w:r w:rsidR="00CD14AE">
        <w:t>and UE still meets the transmit timing requirements</w:t>
      </w:r>
      <w:r w:rsidR="00561B85">
        <w:t xml:space="preserve"> </w:t>
      </w:r>
      <w:r w:rsidR="00C5480F">
        <w:t xml:space="preserve">and </w:t>
      </w:r>
      <w:r w:rsidR="00561B85">
        <w:t xml:space="preserve">requiring no </w:t>
      </w:r>
      <w:r w:rsidR="00C5480F">
        <w:t xml:space="preserve">timing </w:t>
      </w:r>
      <w:r w:rsidR="00561B85">
        <w:t>adjustment</w:t>
      </w:r>
      <w:r w:rsidR="00CD14AE">
        <w:t xml:space="preserve">. </w:t>
      </w:r>
    </w:p>
    <w:p w14:paraId="469301D1" w14:textId="7D3D1EF7" w:rsidR="00CE7884" w:rsidRDefault="00CE7884" w:rsidP="00CE7884">
      <w:pPr>
        <w:pStyle w:val="Caption"/>
        <w:jc w:val="both"/>
      </w:pPr>
      <w:r>
        <w:t>Observation</w:t>
      </w:r>
      <w:r w:rsidR="005902C2">
        <w:t xml:space="preserve"> 2</w:t>
      </w:r>
      <w:r>
        <w:t>. UE motion, UE clock drift and gNB clock drift can result in significant errors for measurements that are performed apart in time but are all used to generate the same position fix.</w:t>
      </w:r>
    </w:p>
    <w:p w14:paraId="51CA07A2" w14:textId="6710105D" w:rsidR="008129C1" w:rsidRDefault="00CD14AE" w:rsidP="008A3A0C">
      <w:r>
        <w:t>Moreover, in TS 38.101</w:t>
      </w:r>
      <w:r w:rsidR="0016565D">
        <w:t>-1</w:t>
      </w:r>
      <w:r>
        <w:t xml:space="preserve">, the transmit signal quality requirements </w:t>
      </w:r>
      <w:r w:rsidR="008129C1">
        <w:t>is:</w:t>
      </w:r>
    </w:p>
    <w:p w14:paraId="16DC55E9" w14:textId="068B06FB" w:rsidR="008129C1" w:rsidRPr="008A3A0C" w:rsidRDefault="008129C1" w:rsidP="008A3A0C">
      <w:r w:rsidRPr="0074147F">
        <w:rPr>
          <w:noProof/>
          <w:lang w:val="en-US" w:eastAsia="zh-CN"/>
        </w:rPr>
        <w:lastRenderedPageBreak/>
        <mc:AlternateContent>
          <mc:Choice Requires="wps">
            <w:drawing>
              <wp:inline distT="0" distB="0" distL="0" distR="0" wp14:anchorId="1E9786C1" wp14:editId="7AE617A5">
                <wp:extent cx="5881420" cy="855023"/>
                <wp:effectExtent l="0" t="0" r="24130" b="2159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55023"/>
                        </a:xfrm>
                        <a:prstGeom prst="rect">
                          <a:avLst/>
                        </a:prstGeom>
                        <a:solidFill>
                          <a:srgbClr val="FFFFFF"/>
                        </a:solidFill>
                        <a:ln w="9525">
                          <a:solidFill>
                            <a:srgbClr val="000000"/>
                          </a:solidFill>
                          <a:miter lim="800000"/>
                          <a:headEnd/>
                          <a:tailEnd/>
                        </a:ln>
                      </wps:spPr>
                      <wps:txbx>
                        <w:txbxContent>
                          <w:p w14:paraId="5BF707FB" w14:textId="77777777" w:rsidR="00845778" w:rsidRPr="00845778" w:rsidRDefault="00845778" w:rsidP="00845778">
                            <w:pPr>
                              <w:autoSpaceDE w:val="0"/>
                              <w:autoSpaceDN w:val="0"/>
                              <w:adjustRightInd w:val="0"/>
                              <w:spacing w:after="0"/>
                              <w:rPr>
                                <w:rFonts w:ascii="Arial" w:hAnsi="Arial" w:cs="Arial"/>
                                <w:color w:val="000000"/>
                                <w:sz w:val="32"/>
                                <w:szCs w:val="32"/>
                                <w:lang w:val="en-US" w:eastAsia="ko-KR"/>
                              </w:rPr>
                            </w:pPr>
                            <w:r w:rsidRPr="00845778">
                              <w:rPr>
                                <w:rFonts w:ascii="Arial" w:hAnsi="Arial" w:cs="Arial"/>
                                <w:color w:val="000000"/>
                                <w:sz w:val="32"/>
                                <w:szCs w:val="32"/>
                                <w:lang w:val="en-US" w:eastAsia="ko-KR"/>
                              </w:rPr>
                              <w:t xml:space="preserve">6.4 Transmit signal quality </w:t>
                            </w:r>
                          </w:p>
                          <w:p w14:paraId="2EFA2038" w14:textId="77777777" w:rsidR="00845778" w:rsidRPr="00845778" w:rsidRDefault="00845778" w:rsidP="00845778">
                            <w:pPr>
                              <w:autoSpaceDE w:val="0"/>
                              <w:autoSpaceDN w:val="0"/>
                              <w:adjustRightInd w:val="0"/>
                              <w:spacing w:after="0"/>
                              <w:rPr>
                                <w:rFonts w:ascii="Arial" w:hAnsi="Arial" w:cs="Arial"/>
                                <w:color w:val="000000"/>
                                <w:sz w:val="28"/>
                                <w:szCs w:val="28"/>
                                <w:lang w:val="en-US" w:eastAsia="ko-KR"/>
                              </w:rPr>
                            </w:pPr>
                            <w:r w:rsidRPr="00845778">
                              <w:rPr>
                                <w:rFonts w:ascii="Arial" w:hAnsi="Arial" w:cs="Arial"/>
                                <w:color w:val="000000"/>
                                <w:sz w:val="28"/>
                                <w:szCs w:val="28"/>
                                <w:lang w:val="en-US" w:eastAsia="ko-KR"/>
                              </w:rPr>
                              <w:t xml:space="preserve">6.4.1 Frequency error </w:t>
                            </w:r>
                          </w:p>
                          <w:p w14:paraId="5156754C" w14:textId="4CB2DDBC" w:rsidR="008129C1" w:rsidRPr="009C5EB9" w:rsidRDefault="00845778" w:rsidP="00845778">
                            <w:pPr>
                              <w:rPr>
                                <w:rFonts w:eastAsia="Batang"/>
                                <w:b/>
                                <w:lang w:eastAsia="zh-CN"/>
                              </w:rPr>
                            </w:pPr>
                            <w:r w:rsidRPr="00845778">
                              <w:rPr>
                                <w:color w:val="000000"/>
                                <w:lang w:val="en-US" w:eastAsia="ko-KR"/>
                              </w:rPr>
                              <w:t xml:space="preserve">The UE modulated carrier frequency shall be accurate to within </w:t>
                            </w:r>
                            <w:r w:rsidRPr="00C707FB">
                              <w:rPr>
                                <w:color w:val="000000"/>
                                <w:highlight w:val="yellow"/>
                                <w:lang w:val="en-US" w:eastAsia="ko-KR"/>
                              </w:rPr>
                              <w:t>±0.1 PPM</w:t>
                            </w:r>
                            <w:r w:rsidRPr="00845778">
                              <w:rPr>
                                <w:color w:val="000000"/>
                                <w:lang w:val="en-US" w:eastAsia="ko-KR"/>
                              </w:rPr>
                              <w:t xml:space="preserve"> observed over a period of </w:t>
                            </w:r>
                            <w:r w:rsidRPr="00C707FB">
                              <w:rPr>
                                <w:color w:val="000000"/>
                                <w:highlight w:val="yellow"/>
                                <w:lang w:val="en-US" w:eastAsia="ko-KR"/>
                              </w:rPr>
                              <w:t>1 ms</w:t>
                            </w:r>
                            <w:r w:rsidRPr="00845778">
                              <w:rPr>
                                <w:color w:val="000000"/>
                                <w:lang w:val="en-US" w:eastAsia="ko-KR"/>
                              </w:rPr>
                              <w:t xml:space="preserve"> compared to the carrier frequency received from the NR Node B.</w:t>
                            </w:r>
                          </w:p>
                        </w:txbxContent>
                      </wps:txbx>
                      <wps:bodyPr rot="0" vert="horz" wrap="square" lIns="91440" tIns="45720" rIns="91440" bIns="45720" anchor="t" anchorCtr="0">
                        <a:noAutofit/>
                      </wps:bodyPr>
                    </wps:wsp>
                  </a:graphicData>
                </a:graphic>
              </wp:inline>
            </w:drawing>
          </mc:Choice>
          <mc:Fallback>
            <w:pict>
              <v:shape w14:anchorId="1E9786C1" id="Text Box 8" o:spid="_x0000_s1027" type="#_x0000_t202" style="width:463.1pt;height:6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">
                <v:textbox>
                  <w:txbxContent>
                    <w:p w14:paraId="5BF707FB" w14:textId="77777777" w:rsidR="00845778" w:rsidRPr="00845778" w:rsidRDefault="00845778" w:rsidP="00845778">
                      <w:pPr>
                        <w:autoSpaceDE w:val="0"/>
                        <w:autoSpaceDN w:val="0"/>
                        <w:adjustRightInd w:val="0"/>
                        <w:spacing w:after="0"/>
                        <w:rPr>
                          <w:rFonts w:ascii="Arial" w:hAnsi="Arial" w:cs="Arial"/>
                          <w:color w:val="000000"/>
                          <w:sz w:val="32"/>
                          <w:szCs w:val="32"/>
                          <w:lang w:val="en-US" w:eastAsia="ko-KR"/>
                        </w:rPr>
                      </w:pPr>
                      <w:r w:rsidRPr="00845778">
                        <w:rPr>
                          <w:rFonts w:ascii="Arial" w:hAnsi="Arial" w:cs="Arial"/>
                          <w:color w:val="000000"/>
                          <w:sz w:val="32"/>
                          <w:szCs w:val="32"/>
                          <w:lang w:val="en-US" w:eastAsia="ko-KR"/>
                        </w:rPr>
                        <w:t xml:space="preserve">6.4 Transmit signal quality </w:t>
                      </w:r>
                    </w:p>
                    <w:p w14:paraId="2EFA2038" w14:textId="77777777" w:rsidR="00845778" w:rsidRPr="00845778" w:rsidRDefault="00845778" w:rsidP="00845778">
                      <w:pPr>
                        <w:autoSpaceDE w:val="0"/>
                        <w:autoSpaceDN w:val="0"/>
                        <w:adjustRightInd w:val="0"/>
                        <w:spacing w:after="0"/>
                        <w:rPr>
                          <w:rFonts w:ascii="Arial" w:hAnsi="Arial" w:cs="Arial"/>
                          <w:color w:val="000000"/>
                          <w:sz w:val="28"/>
                          <w:szCs w:val="28"/>
                          <w:lang w:val="en-US" w:eastAsia="ko-KR"/>
                        </w:rPr>
                      </w:pPr>
                      <w:r w:rsidRPr="00845778">
                        <w:rPr>
                          <w:rFonts w:ascii="Arial" w:hAnsi="Arial" w:cs="Arial"/>
                          <w:color w:val="000000"/>
                          <w:sz w:val="28"/>
                          <w:szCs w:val="28"/>
                          <w:lang w:val="en-US" w:eastAsia="ko-KR"/>
                        </w:rPr>
                        <w:t xml:space="preserve">6.4.1 Frequency error </w:t>
                      </w:r>
                    </w:p>
                    <w:p w14:paraId="5156754C" w14:textId="4CB2DDBC" w:rsidR="008129C1" w:rsidRPr="009C5EB9" w:rsidRDefault="00845778" w:rsidP="00845778">
                      <w:pPr>
                        <w:rPr>
                          <w:rFonts w:eastAsia="Batang"/>
                          <w:b/>
                          <w:lang w:eastAsia="zh-CN"/>
                        </w:rPr>
                      </w:pPr>
                      <w:r w:rsidRPr="00845778">
                        <w:rPr>
                          <w:color w:val="000000"/>
                          <w:lang w:val="en-US" w:eastAsia="ko-KR"/>
                        </w:rPr>
                        <w:t xml:space="preserve">The UE modulated carrier frequency shall be accurate to within </w:t>
                      </w:r>
                      <w:r w:rsidRPr="00C707FB">
                        <w:rPr>
                          <w:color w:val="000000"/>
                          <w:highlight w:val="yellow"/>
                          <w:lang w:val="en-US" w:eastAsia="ko-KR"/>
                        </w:rPr>
                        <w:t>±0.1 PPM</w:t>
                      </w:r>
                      <w:r w:rsidRPr="00845778">
                        <w:rPr>
                          <w:color w:val="000000"/>
                          <w:lang w:val="en-US" w:eastAsia="ko-KR"/>
                        </w:rPr>
                        <w:t xml:space="preserve"> observed over a period of </w:t>
                      </w:r>
                      <w:r w:rsidRPr="00C707FB">
                        <w:rPr>
                          <w:color w:val="000000"/>
                          <w:highlight w:val="yellow"/>
                          <w:lang w:val="en-US" w:eastAsia="ko-KR"/>
                        </w:rPr>
                        <w:t>1 ms</w:t>
                      </w:r>
                      <w:r w:rsidRPr="00845778">
                        <w:rPr>
                          <w:color w:val="000000"/>
                          <w:lang w:val="en-US" w:eastAsia="ko-KR"/>
                        </w:rPr>
                        <w:t xml:space="preserve"> compared to the carrier frequency received from the NR Node B.</w:t>
                      </w:r>
                    </w:p>
                  </w:txbxContent>
                </v:textbox>
                <w10:anchorlock/>
              </v:shape>
            </w:pict>
          </mc:Fallback>
        </mc:AlternateContent>
      </w:r>
    </w:p>
    <w:p w14:paraId="01DA39BB" w14:textId="30F86006" w:rsidR="00F334AA" w:rsidRDefault="00F334AA" w:rsidP="003724AB">
      <w:r>
        <w:t xml:space="preserve">This means UE clock drift can be </w:t>
      </w:r>
      <w:r w:rsidR="00F128A1">
        <w:t>100</w:t>
      </w:r>
      <w:r w:rsidR="000E5286">
        <w:t xml:space="preserve"> part-per-billion (ppb)</w:t>
      </w:r>
      <w:r w:rsidR="00D0096C">
        <w:t xml:space="preserve">. </w:t>
      </w:r>
      <w:r w:rsidR="00321762">
        <w:t xml:space="preserve">With the stricter 3 - 10m accuracy targets for commercial use cases in NR, it is vital </w:t>
      </w:r>
      <w:r w:rsidR="00421000">
        <w:t xml:space="preserve">to keep the </w:t>
      </w:r>
      <w:r w:rsidR="00D83D75">
        <w:t xml:space="preserve">measurement error due to drift and other impairment </w:t>
      </w:r>
      <w:r w:rsidR="001416CB">
        <w:t>at least an order of magnitude below the acc</w:t>
      </w:r>
      <w:r w:rsidR="00123B73">
        <w:t xml:space="preserve">uracy requirements which </w:t>
      </w:r>
      <w:r w:rsidR="008C1284">
        <w:t xml:space="preserve">is on the order of Tc. Hence, assuming a maximum </w:t>
      </w:r>
      <w:r w:rsidR="00E674E1">
        <w:t>0.</w:t>
      </w:r>
      <w:r w:rsidR="00314602">
        <w:t>05</w:t>
      </w:r>
      <w:r w:rsidR="00E674E1">
        <w:t>Tc error budget for clock drift</w:t>
      </w:r>
      <w:r w:rsidR="009F73B3">
        <w:t xml:space="preserve"> during the measurement</w:t>
      </w:r>
      <w:r w:rsidR="006E2C5D">
        <w:t>:</w:t>
      </w:r>
    </w:p>
    <w:p w14:paraId="281B2E94" w14:textId="67C757D3" w:rsidR="00516891" w:rsidRPr="00516891" w:rsidRDefault="006E2C5D" w:rsidP="00516891">
      <m:oMathPara>
        <m:oMath>
          <m:r>
            <w:rPr>
              <w:rFonts w:ascii="Cambria Math" w:hAnsi="Cambria Math"/>
            </w:rPr>
            <m:t>X=</m:t>
          </m:r>
          <m:f>
            <m:fPr>
              <m:ctrlPr>
                <w:rPr>
                  <w:rFonts w:ascii="Cambria Math" w:hAnsi="Cambria Math"/>
                  <w:i/>
                </w:rPr>
              </m:ctrlPr>
            </m:fPr>
            <m:num>
              <m:r>
                <w:rPr>
                  <w:rFonts w:ascii="Cambria Math" w:hAnsi="Cambria Math"/>
                </w:rPr>
                <m:t>0.05</m:t>
              </m:r>
              <m:sSub>
                <m:sSubPr>
                  <m:ctrlPr>
                    <w:rPr>
                      <w:rFonts w:ascii="Cambria Math" w:hAnsi="Cambria Math"/>
                      <w:i/>
                    </w:rPr>
                  </m:ctrlPr>
                </m:sSubPr>
                <m:e>
                  <m:r>
                    <w:rPr>
                      <w:rFonts w:ascii="Cambria Math" w:hAnsi="Cambria Math"/>
                    </w:rPr>
                    <m:t>T</m:t>
                  </m:r>
                </m:e>
                <m:sub>
                  <m:r>
                    <w:rPr>
                      <w:rFonts w:ascii="Cambria Math" w:hAnsi="Cambria Math"/>
                    </w:rPr>
                    <m:t>c</m:t>
                  </m:r>
                </m:sub>
              </m:sSub>
            </m:num>
            <m:den>
              <m:sSup>
                <m:sSupPr>
                  <m:ctrlPr>
                    <w:rPr>
                      <w:rFonts w:ascii="Cambria Math" w:hAnsi="Cambria Math"/>
                      <w:i/>
                    </w:rPr>
                  </m:ctrlPr>
                </m:sSupPr>
                <m:e>
                  <m:r>
                    <w:rPr>
                      <w:rFonts w:ascii="Cambria Math" w:hAnsi="Cambria Math"/>
                    </w:rPr>
                    <m:t>100.10</m:t>
                  </m:r>
                </m:e>
                <m:sup>
                  <m:r>
                    <w:rPr>
                      <w:rFonts w:ascii="Cambria Math" w:hAnsi="Cambria Math"/>
                    </w:rPr>
                    <m:t>-9</m:t>
                  </m:r>
                </m:sup>
              </m:sSup>
            </m:den>
          </m:f>
          <m:r>
            <w:rPr>
              <w:rFonts w:ascii="Cambria Math" w:hAnsi="Cambria Math"/>
            </w:rPr>
            <m:t>=25 ms</m:t>
          </m:r>
        </m:oMath>
      </m:oMathPara>
    </w:p>
    <w:p w14:paraId="771800A9" w14:textId="40D633F4" w:rsidR="00B76499" w:rsidRDefault="003724AB" w:rsidP="003724AB">
      <w:pPr>
        <w:jc w:val="both"/>
      </w:pPr>
      <w:r>
        <w:t xml:space="preserve">It is thus proposed that </w:t>
      </w:r>
      <w:r w:rsidR="00A016AD">
        <w:t>measurement</w:t>
      </w:r>
      <w:r>
        <w:t xml:space="preserve"> requirements be applicable when the SRS transmissions are within [-</w:t>
      </w:r>
      <w:r w:rsidR="00372F70">
        <w:t>25</w:t>
      </w:r>
      <w:r>
        <w:t xml:space="preserve">, </w:t>
      </w:r>
      <w:r w:rsidR="00372F70">
        <w:t>25</w:t>
      </w:r>
      <w:r>
        <w:t>] ms of at least one DL PRS resource from each of the TRPs in the assistance data.</w:t>
      </w:r>
    </w:p>
    <w:p w14:paraId="6AC64BCD" w14:textId="77777777" w:rsidR="00B76499" w:rsidRDefault="00B76499" w:rsidP="00B76499">
      <w:pPr>
        <w:rPr>
          <w:lang w:val="en-US"/>
        </w:rPr>
      </w:pPr>
      <w:r>
        <w:rPr>
          <w:lang w:val="en-US"/>
        </w:rPr>
        <w:t xml:space="preserve">In the last RAN4 meeting, a concern was raised that SRS capacity within the range of [-25, 25] ms will be limited since SRS is a per-UE resource whereas PRS is more of a broadcast resource. Our understanding is that SRS for positioning is configured on-demand when a positioning session is initiated. In such event, UE’s configured SRS should follow Proposal 7 to guarantee the positioning performance requirements. When the positioning session is completed, the SRS resource is released and available for other UEs. Also, given the typical sparsity of PRS (long periods), a rather wide range is available for SRS transmission for other purposes. For instance, with PRS periodicity of 160ms, there is a range of 110ms that is available for SRS transmission for purposes other than positioning and the range of +/- 25ms around each PRS occasion can also be used for such purposes if there the number of UE’s in a positioning session is small enough to allow this capacity to be used. In other words, we do not anticipate any material impact on SRS capacity (either for positioning or other means) to arise from Proposal 3 as the total SRS capacity is not impacted by Proposal 3 which only prioritizes SRS for positioning to be scheduled around PRS. </w:t>
      </w:r>
    </w:p>
    <w:p w14:paraId="7493F260" w14:textId="25B38D41" w:rsidR="00B76499" w:rsidRPr="00B76499" w:rsidRDefault="00B76499" w:rsidP="00B76499">
      <w:pPr>
        <w:rPr>
          <w:b/>
          <w:bCs/>
          <w:lang w:val="en-US"/>
        </w:rPr>
      </w:pPr>
      <w:r w:rsidRPr="001D2900">
        <w:rPr>
          <w:b/>
          <w:bCs/>
          <w:lang w:val="en-US"/>
        </w:rPr>
        <w:t>Observation</w:t>
      </w:r>
      <w:r>
        <w:rPr>
          <w:b/>
          <w:bCs/>
          <w:lang w:val="en-US"/>
        </w:rPr>
        <w:t xml:space="preserve"> 3</w:t>
      </w:r>
      <w:r w:rsidRPr="001D2900">
        <w:rPr>
          <w:b/>
          <w:bCs/>
          <w:lang w:val="en-US"/>
        </w:rPr>
        <w:t>. SRS for positioning is configured on-demand and released when positioning session is completed. With sparse PRS periods, there is sufficient capacity for SRS transmission both within and outside of the [-25, 25]ms range of every PRS period.</w:t>
      </w:r>
    </w:p>
    <w:p w14:paraId="15ECE8FF" w14:textId="25ED050D" w:rsidR="00B76499" w:rsidRDefault="00B76499" w:rsidP="003724AB">
      <w:pPr>
        <w:jc w:val="both"/>
      </w:pPr>
      <w:r>
        <w:t xml:space="preserve">In RAN4#95-e meetings, some companies argued that if there is one SRS transmission in the UE Rx-Tx measurement period, the accuracy requirements shall be applicable. Our analysis shows that even if DL-PRS and UL-SRS periodicities are identical, the impact on accuracy requirements can be significant. </w:t>
      </w:r>
    </w:p>
    <w:p w14:paraId="1E4449A1" w14:textId="77777777" w:rsidR="00B76499" w:rsidRDefault="00B76499" w:rsidP="00B76499">
      <w:pPr>
        <w:rPr>
          <w:lang w:val="en-US"/>
        </w:rPr>
      </w:pPr>
      <w:r>
        <w:rPr>
          <w:lang w:val="en-US"/>
        </w:rPr>
        <w:fldChar w:fldCharType="begin"/>
      </w:r>
      <w:r>
        <w:rPr>
          <w:lang w:val="en-US"/>
        </w:rPr>
        <w:instrText xml:space="preserve"> REF _Ref46933333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shows the impact of drift and UE mobility due to distance of DL-PRS reception and UL-SRS for positioning transmission by ½ the DL-PRS periodicity for a range of DL-PRS periodicities.  With an assumption that DL-PRS periodicity is equal to UL-SRS for positioning periodicity, the worst-case offset between the two is ½ the periodicity.  For instance, with 160 ms periodicity, the worst-case offset is +/- 80 ms.  The blue curve in the plot shows the measurement error due to UE clock offset of 100 ppb (0.1 ppm).</w:t>
      </w:r>
    </w:p>
    <w:p w14:paraId="4263933F" w14:textId="77777777" w:rsidR="00B76499" w:rsidRDefault="00B76499" w:rsidP="00B76499">
      <w:pPr>
        <w:rPr>
          <w:lang w:val="en-US"/>
        </w:rPr>
      </w:pPr>
      <w:r>
        <w:rPr>
          <w:lang w:val="en-US"/>
        </w:rPr>
        <w:t>For reference, UE motion has a similar impact on measurement error, although the projection of the error depends on the UE velocity and the direction to the various TRPs.  Error curves for UE motion of fast walking speed (1 m/s), urban driving (10 m/s) and highway speeds (35 m/s) are shown in the other solid lines in the plot.</w:t>
      </w:r>
    </w:p>
    <w:p w14:paraId="0114BC98" w14:textId="77777777" w:rsidR="00B76499" w:rsidRDefault="00B76499" w:rsidP="00B76499">
      <w:pPr>
        <w:rPr>
          <w:lang w:val="en-US"/>
        </w:rPr>
      </w:pPr>
      <w:r>
        <w:rPr>
          <w:lang w:val="en-US"/>
        </w:rPr>
        <w:t>We assume that there’s an error budget of 10% of the target position error, and the dashed lines in the plot show error thresholds corresponding to the target accuracies of 3 m for commercial indoor use case, 10 m for the commercial outdoor use case, and the 50m regulatory use case.  The target error thresholds are 0.3 m, 1 m and 5 m respectively.</w:t>
      </w:r>
    </w:p>
    <w:p w14:paraId="10E78E21" w14:textId="3E387BA2" w:rsidR="00B76499" w:rsidRDefault="00B21256" w:rsidP="003724AB">
      <w:pPr>
        <w:jc w:val="both"/>
      </w:pPr>
      <w:r>
        <w:t>Figure 2 shows that if PRS and SRS periodicity is 640ms and each SRS occasion is 320ms away from a PRS occasion, there is 10m error just from clock drift which is well beyond the positioning accuracy requirements in R16.</w:t>
      </w:r>
    </w:p>
    <w:p w14:paraId="613FD181" w14:textId="5CB65665" w:rsidR="00B76499" w:rsidRPr="00505132" w:rsidRDefault="00B76499" w:rsidP="003724AB">
      <w:pPr>
        <w:jc w:val="both"/>
      </w:pPr>
      <w:r>
        <w:rPr>
          <w:noProof/>
        </w:rPr>
        <w:lastRenderedPageBreak/>
        <w:drawing>
          <wp:inline distT="0" distB="0" distL="0" distR="0" wp14:anchorId="5A1D48FE" wp14:editId="4B891D56">
            <wp:extent cx="6078220" cy="4629785"/>
            <wp:effectExtent l="0" t="0" r="0"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asurement error impact from clk drift and UE motion at 0p5 T_P_R_S spacing between DL-PRS and UL-SRS.png"/>
                    <pic:cNvPicPr/>
                  </pic:nvPicPr>
                  <pic:blipFill>
                    <a:blip r:embed="rId10">
                      <a:extLst>
                        <a:ext uri="{28A0092B-C50C-407E-A947-70E740481C1C}">
                          <a14:useLocalDpi xmlns:a14="http://schemas.microsoft.com/office/drawing/2010/main" val="0"/>
                        </a:ext>
                      </a:extLst>
                    </a:blip>
                    <a:stretch>
                      <a:fillRect/>
                    </a:stretch>
                  </pic:blipFill>
                  <pic:spPr>
                    <a:xfrm>
                      <a:off x="0" y="0"/>
                      <a:ext cx="6078220" cy="4629785"/>
                    </a:xfrm>
                    <a:prstGeom prst="rect">
                      <a:avLst/>
                    </a:prstGeom>
                  </pic:spPr>
                </pic:pic>
              </a:graphicData>
            </a:graphic>
          </wp:inline>
        </w:drawing>
      </w:r>
    </w:p>
    <w:p w14:paraId="179C2901" w14:textId="77777777" w:rsidR="00B76499" w:rsidRPr="00505132" w:rsidRDefault="00B76499" w:rsidP="00B76499">
      <w:pPr>
        <w:pStyle w:val="Caption"/>
        <w:jc w:val="center"/>
      </w:pPr>
      <w:bookmarkStart w:id="0" w:name="_Ref46933333"/>
      <w:bookmarkStart w:id="1" w:name="_Ref23932440"/>
      <w:bookmarkStart w:id="2" w:name="_Hlk24061728"/>
      <w:r>
        <w:t xml:space="preserve">Figure </w:t>
      </w:r>
      <w:r>
        <w:fldChar w:fldCharType="begin"/>
      </w:r>
      <w:r>
        <w:instrText xml:space="preserve"> SEQ Figure \* ARABIC </w:instrText>
      </w:r>
      <w:r>
        <w:fldChar w:fldCharType="separate"/>
      </w:r>
      <w:r>
        <w:rPr>
          <w:noProof/>
        </w:rPr>
        <w:t>2</w:t>
      </w:r>
      <w:r>
        <w:fldChar w:fldCharType="end"/>
      </w:r>
      <w:bookmarkEnd w:id="0"/>
      <w:r>
        <w:t xml:space="preserve"> Impact from UE motion and clock drift on measurement error at T</w:t>
      </w:r>
      <w:r w:rsidRPr="00085ED5">
        <w:rPr>
          <w:vertAlign w:val="subscript"/>
        </w:rPr>
        <w:t>PRS</w:t>
      </w:r>
      <w:r>
        <w:t>/2 offset between DL-PRS and UL-SRS for positioning</w:t>
      </w:r>
    </w:p>
    <w:p w14:paraId="0C82F921" w14:textId="07CB5612" w:rsidR="00B76499" w:rsidRDefault="00D7244A" w:rsidP="003724AB">
      <w:pPr>
        <w:pStyle w:val="Caption"/>
        <w:spacing w:after="0"/>
        <w:rPr>
          <w:b w:val="0"/>
          <w:bCs/>
        </w:rPr>
      </w:pPr>
      <w:r>
        <w:rPr>
          <w:b w:val="0"/>
          <w:bCs/>
        </w:rPr>
        <w:t xml:space="preserve">Based on this analysis, </w:t>
      </w:r>
      <w:r w:rsidR="0098688B">
        <w:rPr>
          <w:b w:val="0"/>
          <w:bCs/>
        </w:rPr>
        <w:t>our view is that RAN4 is left with two options regarding the proximity of DL-PRS and UL-SRS:</w:t>
      </w:r>
    </w:p>
    <w:p w14:paraId="600BAA46" w14:textId="275E4ADD" w:rsidR="0098688B" w:rsidRPr="0098688B" w:rsidRDefault="0098688B" w:rsidP="0098688B">
      <w:pPr>
        <w:pStyle w:val="ListParagraph"/>
        <w:numPr>
          <w:ilvl w:val="0"/>
          <w:numId w:val="28"/>
        </w:numPr>
        <w:rPr>
          <w:sz w:val="20"/>
          <w:szCs w:val="20"/>
        </w:rPr>
      </w:pPr>
      <w:r w:rsidRPr="0098688B">
        <w:rPr>
          <w:sz w:val="20"/>
          <w:szCs w:val="20"/>
        </w:rPr>
        <w:t>Define a proximity window such that any SRS transmission is within this window of at least one DL PRS resource if each of the TRPs in the assistance data</w:t>
      </w:r>
    </w:p>
    <w:p w14:paraId="676ACD9C" w14:textId="23AC6A74" w:rsidR="0098688B" w:rsidRPr="0098688B" w:rsidRDefault="0098688B" w:rsidP="0098688B">
      <w:pPr>
        <w:pStyle w:val="ListParagraph"/>
        <w:numPr>
          <w:ilvl w:val="1"/>
          <w:numId w:val="28"/>
        </w:numPr>
        <w:rPr>
          <w:sz w:val="20"/>
          <w:szCs w:val="20"/>
        </w:rPr>
      </w:pPr>
      <w:r w:rsidRPr="0098688B">
        <w:rPr>
          <w:sz w:val="20"/>
          <w:szCs w:val="20"/>
        </w:rPr>
        <w:t>With this approach, UE Rx-Tx measurement accuracy requirements will be independent of maximum separation of DL PRS and UL SRS</w:t>
      </w:r>
    </w:p>
    <w:p w14:paraId="287C9D50" w14:textId="37D2646A" w:rsidR="0098688B" w:rsidRPr="0098688B" w:rsidRDefault="0098688B" w:rsidP="0098688B">
      <w:pPr>
        <w:pStyle w:val="ListParagraph"/>
        <w:numPr>
          <w:ilvl w:val="0"/>
          <w:numId w:val="28"/>
        </w:numPr>
        <w:rPr>
          <w:sz w:val="20"/>
          <w:szCs w:val="20"/>
        </w:rPr>
      </w:pPr>
      <w:r w:rsidRPr="0098688B">
        <w:rPr>
          <w:sz w:val="20"/>
          <w:szCs w:val="20"/>
        </w:rPr>
        <w:t>Do not define a proximity window as in option 1</w:t>
      </w:r>
    </w:p>
    <w:p w14:paraId="35ED01ED" w14:textId="7576D78F" w:rsidR="0098688B" w:rsidRDefault="0098688B" w:rsidP="0098688B">
      <w:pPr>
        <w:pStyle w:val="ListParagraph"/>
        <w:numPr>
          <w:ilvl w:val="1"/>
          <w:numId w:val="28"/>
        </w:numPr>
        <w:rPr>
          <w:sz w:val="20"/>
          <w:szCs w:val="20"/>
        </w:rPr>
      </w:pPr>
      <w:r w:rsidRPr="0098688B">
        <w:rPr>
          <w:sz w:val="20"/>
          <w:szCs w:val="20"/>
        </w:rPr>
        <w:t>With this approach, UE Rx-Tx measurement accuracy requirements shall be dependent on maximum separation of DL PRS and UL SRS (i.e., the larger the separation of PRS and SRS, the looser the accuracy requirements)</w:t>
      </w:r>
    </w:p>
    <w:p w14:paraId="6B387525" w14:textId="77777777" w:rsidR="00B1105B" w:rsidRPr="00B1105B" w:rsidRDefault="00B1105B" w:rsidP="00B1105B">
      <w:pPr>
        <w:pStyle w:val="ListParagraph"/>
        <w:ind w:left="1440"/>
        <w:rPr>
          <w:sz w:val="20"/>
          <w:szCs w:val="20"/>
        </w:rPr>
      </w:pPr>
    </w:p>
    <w:bookmarkEnd w:id="1"/>
    <w:bookmarkEnd w:id="2"/>
    <w:p w14:paraId="03FB2945" w14:textId="77777777" w:rsidR="002955F1" w:rsidRPr="00B1105B" w:rsidRDefault="002955F1" w:rsidP="002955F1">
      <w:pPr>
        <w:pStyle w:val="Caption"/>
        <w:spacing w:after="0"/>
      </w:pPr>
      <w:r w:rsidRPr="00B1105B">
        <w:t>Proposal 3. Regarding the proximity of SRS transmission with PRS reception, RAN4 to down-select from the following two options:</w:t>
      </w:r>
    </w:p>
    <w:p w14:paraId="556AEB32" w14:textId="77777777" w:rsidR="002955F1" w:rsidRPr="00B1105B" w:rsidRDefault="002955F1" w:rsidP="002955F1">
      <w:pPr>
        <w:pStyle w:val="Caption"/>
        <w:numPr>
          <w:ilvl w:val="0"/>
          <w:numId w:val="29"/>
        </w:numPr>
        <w:spacing w:after="0"/>
      </w:pPr>
      <w:r w:rsidRPr="00B1105B">
        <w:t xml:space="preserve">Option A: The measurement </w:t>
      </w:r>
      <w:r>
        <w:t xml:space="preserve">accuracy </w:t>
      </w:r>
      <w:r w:rsidRPr="00B1105B">
        <w:t xml:space="preserve">requirements for UE Rx-Tx time difference is applicable only if the configured parameters </w:t>
      </w:r>
      <w:r w:rsidRPr="00B1105B">
        <w:rPr>
          <w:i/>
          <w:iCs/>
        </w:rPr>
        <w:t>SRS-Slot-offset</w:t>
      </w:r>
      <w:r w:rsidRPr="00B1105B">
        <w:t xml:space="preserve"> and </w:t>
      </w:r>
      <w:r w:rsidRPr="00B1105B">
        <w:rPr>
          <w:i/>
          <w:iCs/>
        </w:rPr>
        <w:t>SRS-Periodicity</w:t>
      </w:r>
      <w:r w:rsidRPr="00B1105B">
        <w:t xml:space="preserve"> for SRS resource for positioning are such that any SRS transmission is within [-25, 25] ms of at least one DL PRS resource of each of the TRPs in the assistance data. </w:t>
      </w:r>
    </w:p>
    <w:p w14:paraId="01CDC0AC" w14:textId="77777777" w:rsidR="002955F1" w:rsidRPr="00B1105B" w:rsidRDefault="002955F1" w:rsidP="002955F1">
      <w:pPr>
        <w:pStyle w:val="ListParagraph"/>
        <w:numPr>
          <w:ilvl w:val="1"/>
          <w:numId w:val="29"/>
        </w:numPr>
        <w:rPr>
          <w:b/>
          <w:sz w:val="20"/>
          <w:szCs w:val="20"/>
        </w:rPr>
      </w:pPr>
      <w:r w:rsidRPr="00B1105B">
        <w:rPr>
          <w:b/>
          <w:sz w:val="20"/>
          <w:szCs w:val="20"/>
        </w:rPr>
        <w:t xml:space="preserve">NOTE: </w:t>
      </w:r>
      <w:r>
        <w:rPr>
          <w:b/>
          <w:sz w:val="20"/>
          <w:szCs w:val="20"/>
        </w:rPr>
        <w:t>Accuracy</w:t>
      </w:r>
      <w:r w:rsidRPr="00B1105B">
        <w:rPr>
          <w:b/>
          <w:sz w:val="20"/>
          <w:szCs w:val="20"/>
        </w:rPr>
        <w:t xml:space="preserve"> requirements shall be independent of PRS and SRS separation with option A</w:t>
      </w:r>
    </w:p>
    <w:p w14:paraId="4D65425A" w14:textId="77777777" w:rsidR="002955F1" w:rsidRPr="00B1105B" w:rsidRDefault="002955F1" w:rsidP="002955F1">
      <w:pPr>
        <w:pStyle w:val="ListParagraph"/>
        <w:numPr>
          <w:ilvl w:val="0"/>
          <w:numId w:val="29"/>
        </w:numPr>
        <w:rPr>
          <w:b/>
          <w:sz w:val="20"/>
          <w:szCs w:val="20"/>
        </w:rPr>
      </w:pPr>
      <w:r w:rsidRPr="00B1105B">
        <w:rPr>
          <w:b/>
          <w:sz w:val="20"/>
          <w:szCs w:val="20"/>
        </w:rPr>
        <w:t xml:space="preserve">Option B: The measurement </w:t>
      </w:r>
      <w:r>
        <w:rPr>
          <w:b/>
          <w:sz w:val="20"/>
          <w:szCs w:val="20"/>
        </w:rPr>
        <w:t xml:space="preserve">accuracy </w:t>
      </w:r>
      <w:r w:rsidRPr="00B1105B">
        <w:rPr>
          <w:b/>
          <w:sz w:val="20"/>
          <w:szCs w:val="20"/>
        </w:rPr>
        <w:t>requirements for UE Rx-Tx time difference is applicable regardless of time separation of SRS transmission</w:t>
      </w:r>
      <w:r>
        <w:rPr>
          <w:b/>
          <w:sz w:val="20"/>
          <w:szCs w:val="20"/>
        </w:rPr>
        <w:t>s</w:t>
      </w:r>
      <w:r w:rsidRPr="00B1105B">
        <w:rPr>
          <w:b/>
          <w:sz w:val="20"/>
          <w:szCs w:val="20"/>
        </w:rPr>
        <w:t xml:space="preserve"> and PRS reception</w:t>
      </w:r>
      <w:r>
        <w:rPr>
          <w:b/>
          <w:sz w:val="20"/>
          <w:szCs w:val="20"/>
        </w:rPr>
        <w:t>s</w:t>
      </w:r>
    </w:p>
    <w:p w14:paraId="40AF558F" w14:textId="77777777" w:rsidR="002955F1" w:rsidRPr="00B1105B" w:rsidRDefault="002955F1" w:rsidP="002955F1">
      <w:pPr>
        <w:pStyle w:val="ListParagraph"/>
        <w:numPr>
          <w:ilvl w:val="1"/>
          <w:numId w:val="29"/>
        </w:numPr>
        <w:rPr>
          <w:b/>
          <w:sz w:val="20"/>
          <w:szCs w:val="20"/>
        </w:rPr>
      </w:pPr>
      <w:r w:rsidRPr="00B1105B">
        <w:rPr>
          <w:b/>
          <w:sz w:val="20"/>
          <w:szCs w:val="20"/>
        </w:rPr>
        <w:t xml:space="preserve">NOTE: </w:t>
      </w:r>
      <w:r>
        <w:rPr>
          <w:b/>
          <w:sz w:val="20"/>
          <w:szCs w:val="20"/>
        </w:rPr>
        <w:t>A</w:t>
      </w:r>
      <w:r w:rsidRPr="00B1105B">
        <w:rPr>
          <w:b/>
          <w:sz w:val="20"/>
          <w:szCs w:val="20"/>
        </w:rPr>
        <w:t xml:space="preserve">ccuracy requirements shall be a function of </w:t>
      </w:r>
      <w:r>
        <w:rPr>
          <w:b/>
          <w:sz w:val="20"/>
          <w:szCs w:val="20"/>
        </w:rPr>
        <w:t xml:space="preserve">maximum </w:t>
      </w:r>
      <w:r w:rsidRPr="00B1105B">
        <w:rPr>
          <w:b/>
          <w:sz w:val="20"/>
          <w:szCs w:val="20"/>
        </w:rPr>
        <w:t xml:space="preserve">time separation </w:t>
      </w:r>
      <w:r>
        <w:rPr>
          <w:b/>
          <w:sz w:val="20"/>
          <w:szCs w:val="20"/>
        </w:rPr>
        <w:t xml:space="preserve">among </w:t>
      </w:r>
      <w:r w:rsidRPr="00B1105B">
        <w:rPr>
          <w:b/>
          <w:sz w:val="20"/>
          <w:szCs w:val="20"/>
        </w:rPr>
        <w:t>SRS transmission</w:t>
      </w:r>
      <w:r>
        <w:rPr>
          <w:b/>
          <w:sz w:val="20"/>
          <w:szCs w:val="20"/>
        </w:rPr>
        <w:t>s</w:t>
      </w:r>
      <w:r w:rsidRPr="00B1105B">
        <w:rPr>
          <w:b/>
          <w:sz w:val="20"/>
          <w:szCs w:val="20"/>
        </w:rPr>
        <w:t xml:space="preserve"> and </w:t>
      </w:r>
      <w:r>
        <w:rPr>
          <w:b/>
          <w:sz w:val="20"/>
          <w:szCs w:val="20"/>
        </w:rPr>
        <w:t xml:space="preserve">their corresponding closest </w:t>
      </w:r>
      <w:r w:rsidRPr="00B1105B">
        <w:rPr>
          <w:b/>
          <w:sz w:val="20"/>
          <w:szCs w:val="20"/>
        </w:rPr>
        <w:t>PRS reception</w:t>
      </w:r>
      <w:r>
        <w:rPr>
          <w:b/>
          <w:sz w:val="20"/>
          <w:szCs w:val="20"/>
        </w:rPr>
        <w:t>s within the Rx-Tx time difference measurement period</w:t>
      </w:r>
      <w:r w:rsidRPr="00B1105B">
        <w:rPr>
          <w:b/>
          <w:sz w:val="20"/>
          <w:szCs w:val="20"/>
        </w:rPr>
        <w:t xml:space="preserve">, i.e., the larger the </w:t>
      </w:r>
      <w:r>
        <w:rPr>
          <w:b/>
          <w:sz w:val="20"/>
          <w:szCs w:val="20"/>
        </w:rPr>
        <w:t xml:space="preserve">maximum </w:t>
      </w:r>
      <w:r w:rsidRPr="00B1105B">
        <w:rPr>
          <w:b/>
          <w:sz w:val="20"/>
          <w:szCs w:val="20"/>
        </w:rPr>
        <w:t>separation, the looser the accuracy requirements</w:t>
      </w:r>
    </w:p>
    <w:p w14:paraId="7E21B4AD" w14:textId="100DE87C" w:rsidR="003724AB" w:rsidRDefault="00EF5959" w:rsidP="00810F2A">
      <w:pPr>
        <w:rPr>
          <w:lang w:val="en-US"/>
        </w:rPr>
      </w:pPr>
      <w:r>
        <w:rPr>
          <w:lang w:val="en-US"/>
        </w:rPr>
        <w:lastRenderedPageBreak/>
        <w:t xml:space="preserve">It is further noted that the above proposal </w:t>
      </w:r>
      <w:r w:rsidR="00B1105B">
        <w:rPr>
          <w:lang w:val="en-US"/>
        </w:rPr>
        <w:t>is beneficial to</w:t>
      </w:r>
      <w:r w:rsidR="00E024F6">
        <w:rPr>
          <w:lang w:val="en-US"/>
        </w:rPr>
        <w:t xml:space="preserve"> both UE and gNB Rx-Tx tim</w:t>
      </w:r>
      <w:r w:rsidR="00B1105B">
        <w:rPr>
          <w:lang w:val="en-US"/>
        </w:rPr>
        <w:t>e</w:t>
      </w:r>
      <w:r w:rsidR="00E024F6">
        <w:rPr>
          <w:lang w:val="en-US"/>
        </w:rPr>
        <w:t xml:space="preserve"> difference measurement</w:t>
      </w:r>
      <w:r w:rsidR="00DF00C5">
        <w:rPr>
          <w:lang w:val="en-US"/>
        </w:rPr>
        <w:t>s.</w:t>
      </w:r>
      <w:r w:rsidR="00205D0B">
        <w:rPr>
          <w:lang w:val="en-US"/>
        </w:rPr>
        <w:t xml:space="preserve"> Moreover, option 2</w:t>
      </w:r>
      <w:r w:rsidR="0098688B">
        <w:rPr>
          <w:lang w:val="en-US"/>
        </w:rPr>
        <w:t xml:space="preserve"> from WF</w:t>
      </w:r>
      <w:r w:rsidR="00205D0B">
        <w:rPr>
          <w:lang w:val="en-US"/>
        </w:rPr>
        <w:t xml:space="preserve"> which implies even only one SRS transmission during the measurement period is sufficient for applicability of requirements is not even practical from gNB perspective. In our understanding, gNB cannot arrive at a reasonable estimate of TOA from SRS transmission so it is odd to impose applicability of UE Rx-Tx time difference requirements with one SRS transmission on the UE side.</w:t>
      </w:r>
    </w:p>
    <w:p w14:paraId="2285719A" w14:textId="0957B29F" w:rsidR="00205D0B" w:rsidRPr="00A9611C" w:rsidRDefault="00205D0B" w:rsidP="00810F2A">
      <w:pPr>
        <w:rPr>
          <w:b/>
          <w:bCs/>
          <w:lang w:val="en-US"/>
        </w:rPr>
      </w:pPr>
      <w:r w:rsidRPr="00A9611C">
        <w:rPr>
          <w:b/>
          <w:bCs/>
          <w:lang w:val="en-US"/>
        </w:rPr>
        <w:t>Observation 4. In many typical scenarios, gNB cannot arrive at a reasonable estimation of gNB Rx-Tx time difference with one SRS transmission during the measurement period. Hence, it is odd to impose applicability of UE Rx-Tx time difference requirements with one SRS transmission on the UE side.</w:t>
      </w:r>
    </w:p>
    <w:p w14:paraId="046C3F1A" w14:textId="1A5244C3" w:rsidR="00205D0B" w:rsidRPr="00DF00C5" w:rsidRDefault="00A9611C" w:rsidP="00810F2A">
      <w:pPr>
        <w:rPr>
          <w:lang w:val="en-US"/>
        </w:rPr>
      </w:pPr>
      <w:r>
        <w:rPr>
          <w:lang w:val="en-US"/>
        </w:rPr>
        <w:t xml:space="preserve">It is also noted that option 3 </w:t>
      </w:r>
      <w:r w:rsidR="0098688B">
        <w:rPr>
          <w:lang w:val="en-US"/>
        </w:rPr>
        <w:t xml:space="preserve">from WF </w:t>
      </w:r>
      <w:r>
        <w:rPr>
          <w:lang w:val="en-US"/>
        </w:rPr>
        <w:t>is not different from option 2</w:t>
      </w:r>
      <w:r w:rsidR="0098688B">
        <w:rPr>
          <w:lang w:val="en-US"/>
        </w:rPr>
        <w:t xml:space="preserve"> from WF</w:t>
      </w:r>
      <w:r>
        <w:rPr>
          <w:lang w:val="en-US"/>
        </w:rPr>
        <w:t>; it implies one SRS transmission during a measurement period makes requirements applicable and the rest of the wording in option 3 is simply rephrasing of Rx-Tx time different definition from TS 38.215.</w:t>
      </w:r>
    </w:p>
    <w:p w14:paraId="5B2EBEF8" w14:textId="5E5DA622" w:rsidR="00A9611C" w:rsidRPr="00A9611C" w:rsidRDefault="006F6BE1" w:rsidP="00A9611C">
      <w:pPr>
        <w:pStyle w:val="Heading1"/>
        <w:rPr>
          <w:lang w:val="en-US"/>
        </w:rPr>
      </w:pPr>
      <w:r>
        <w:rPr>
          <w:lang w:val="en-US"/>
        </w:rPr>
        <w:t xml:space="preserve">Measurement </w:t>
      </w:r>
      <w:r w:rsidR="00043CFD">
        <w:rPr>
          <w:lang w:val="en-US"/>
        </w:rPr>
        <w:t xml:space="preserve">period </w:t>
      </w:r>
    </w:p>
    <w:p w14:paraId="4B7F0B9F" w14:textId="49BB5E50" w:rsidR="00043CFD" w:rsidRDefault="00043CFD" w:rsidP="00043CFD">
      <w:pPr>
        <w:rPr>
          <w:lang w:val="en-US"/>
        </w:rPr>
      </w:pPr>
      <w:r>
        <w:rPr>
          <w:lang w:val="en-US"/>
        </w:rPr>
        <w:t>The formulation for the RSTD measurement period is presented in [2]. The UE Rx-Tx measurement period</w:t>
      </w:r>
      <w:r w:rsidR="00A9611C">
        <w:rPr>
          <w:lang w:val="en-US"/>
        </w:rPr>
        <w:t xml:space="preserve"> formulation</w:t>
      </w:r>
      <w:r>
        <w:rPr>
          <w:lang w:val="en-US"/>
        </w:rPr>
        <w:t xml:space="preserve"> is </w:t>
      </w:r>
      <w:r w:rsidR="00A9611C">
        <w:rPr>
          <w:lang w:val="en-US"/>
        </w:rPr>
        <w:t>identical</w:t>
      </w:r>
      <w:r>
        <w:rPr>
          <w:lang w:val="en-US"/>
        </w:rPr>
        <w:t xml:space="preserve"> except that the signaled capabilities for Rx-Tx measurement are different from RSTD measurement. </w:t>
      </w:r>
    </w:p>
    <w:p w14:paraId="341DF57C" w14:textId="65C32E92" w:rsidR="00A9611C" w:rsidRDefault="00A9611C" w:rsidP="00043CFD">
      <w:pPr>
        <w:rPr>
          <w:lang w:val="en-US"/>
        </w:rPr>
      </w:pPr>
      <w:r w:rsidRPr="0074147F">
        <w:rPr>
          <w:noProof/>
          <w:lang w:val="en-US" w:eastAsia="zh-CN"/>
        </w:rPr>
        <mc:AlternateContent>
          <mc:Choice Requires="wps">
            <w:drawing>
              <wp:inline distT="0" distB="0" distL="0" distR="0" wp14:anchorId="0BDE8EC7" wp14:editId="53E2174D">
                <wp:extent cx="5881420" cy="272415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24150"/>
                        </a:xfrm>
                        <a:prstGeom prst="rect">
                          <a:avLst/>
                        </a:prstGeom>
                        <a:solidFill>
                          <a:srgbClr val="FFFFFF"/>
                        </a:solidFill>
                        <a:ln w="9525">
                          <a:solidFill>
                            <a:srgbClr val="000000"/>
                          </a:solidFill>
                          <a:miter lim="800000"/>
                          <a:headEnd/>
                          <a:tailEnd/>
                        </a:ln>
                      </wps:spPr>
                      <wps:txbx>
                        <w:txbxContent>
                          <w:p w14:paraId="4C4CC354" w14:textId="77777777" w:rsidR="00A9611C" w:rsidRPr="00A9611C" w:rsidRDefault="00A9611C" w:rsidP="00A9611C">
                            <w:pPr>
                              <w:numPr>
                                <w:ilvl w:val="0"/>
                                <w:numId w:val="26"/>
                              </w:numPr>
                              <w:tabs>
                                <w:tab w:val="num" w:pos="720"/>
                              </w:tabs>
                              <w:rPr>
                                <w:rFonts w:eastAsia="Batang"/>
                                <w:b/>
                                <w:lang w:val="en-US" w:eastAsia="zh-CN"/>
                              </w:rPr>
                            </w:pPr>
                            <w:r w:rsidRPr="00A9611C">
                              <w:rPr>
                                <w:rFonts w:eastAsia="Batang"/>
                                <w:b/>
                                <w:lang w:val="en-US" w:eastAsia="zh-CN"/>
                              </w:rPr>
                              <w:t xml:space="preserve">FFS: Whether SRS periodicity should be accounted in Rx-Tx time difference measurement period </w:t>
                            </w:r>
                          </w:p>
                          <w:p w14:paraId="37EE54D8" w14:textId="77777777" w:rsidR="00A9611C" w:rsidRPr="00A9611C" w:rsidRDefault="00A9611C" w:rsidP="00A9611C">
                            <w:pPr>
                              <w:numPr>
                                <w:ilvl w:val="0"/>
                                <w:numId w:val="26"/>
                              </w:numPr>
                              <w:tabs>
                                <w:tab w:val="num" w:pos="720"/>
                              </w:tabs>
                              <w:rPr>
                                <w:rFonts w:eastAsia="Batang"/>
                                <w:b/>
                                <w:lang w:val="en-US" w:eastAsia="zh-CN"/>
                              </w:rPr>
                            </w:pPr>
                            <w:r w:rsidRPr="00A9611C">
                              <w:rPr>
                                <w:rFonts w:eastAsia="Batang"/>
                                <w:b/>
                                <w:lang w:val="en-US" w:eastAsia="zh-CN"/>
                              </w:rPr>
                              <w:t>FFS: Whether SRS dropping should be accounted in measurement period</w:t>
                            </w:r>
                          </w:p>
                          <w:p w14:paraId="4D39A874" w14:textId="77777777" w:rsidR="00A9611C" w:rsidRPr="00A9611C" w:rsidRDefault="00A9611C" w:rsidP="00A9611C">
                            <w:pPr>
                              <w:numPr>
                                <w:ilvl w:val="0"/>
                                <w:numId w:val="26"/>
                              </w:numPr>
                              <w:tabs>
                                <w:tab w:val="num" w:pos="720"/>
                              </w:tabs>
                              <w:rPr>
                                <w:rFonts w:eastAsia="Batang"/>
                                <w:b/>
                                <w:lang w:val="en-US" w:eastAsia="zh-CN"/>
                              </w:rPr>
                            </w:pPr>
                            <w:bookmarkStart w:id="3" w:name="_Hlk46328343"/>
                            <w:r w:rsidRPr="00A9611C">
                              <w:rPr>
                                <w:rFonts w:eastAsia="Batang"/>
                                <w:b/>
                                <w:lang w:val="en-US" w:eastAsia="zh-CN"/>
                              </w:rPr>
                              <w:t>FFS: Measurement period with HO</w:t>
                            </w:r>
                          </w:p>
                          <w:p w14:paraId="380036A5"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Option 1. When the UE Rx-Tx time difference measurement period is extended, the extension depends on the number of serving cell changes and on the corresponding interruption time</w:t>
                            </w:r>
                          </w:p>
                          <w:p w14:paraId="7B3D1CDF"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Option 2. UE should re-start the Rx-Tx time difference measurement after cell change</w:t>
                            </w:r>
                          </w:p>
                          <w:p w14:paraId="72899B68" w14:textId="77777777" w:rsidR="00A9611C" w:rsidRPr="00A9611C" w:rsidRDefault="00A9611C" w:rsidP="00A9611C">
                            <w:pPr>
                              <w:numPr>
                                <w:ilvl w:val="0"/>
                                <w:numId w:val="26"/>
                              </w:numPr>
                              <w:tabs>
                                <w:tab w:val="num" w:pos="720"/>
                              </w:tabs>
                              <w:rPr>
                                <w:rFonts w:eastAsia="Batang"/>
                                <w:b/>
                                <w:lang w:val="en-US" w:eastAsia="zh-CN"/>
                              </w:rPr>
                            </w:pPr>
                            <w:r w:rsidRPr="00A9611C">
                              <w:rPr>
                                <w:rFonts w:eastAsia="Batang"/>
                                <w:b/>
                                <w:lang w:val="en-US" w:eastAsia="zh-CN"/>
                              </w:rPr>
                              <w:t>FFS: whether UE shall continue the UE Rx-Tx time difference measurement during which timing adjustment for its UL transmissions, autonomous adjustment or based on configured TA, occurred one or more times</w:t>
                            </w:r>
                          </w:p>
                          <w:p w14:paraId="241BE37D"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FFS: for UE autonomous adjustment and for network issued TA change</w:t>
                            </w:r>
                          </w:p>
                          <w:p w14:paraId="5CF2EBE1"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Consider the issue together with gNB Rx-Tx time difference measurement behavior</w:t>
                            </w:r>
                          </w:p>
                          <w:bookmarkEnd w:id="3"/>
                          <w:p w14:paraId="4839A030" w14:textId="49A8A99E" w:rsidR="00A9611C" w:rsidRPr="009C5EB9" w:rsidRDefault="00A9611C" w:rsidP="00A9611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BDE8EC7" id="Text Box 4" o:spid="_x0000_s1028" type="#_x0000_t202" style="width:463.1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">
                <v:textbox>
                  <w:txbxContent>
                    <w:p w14:paraId="4C4CC354" w14:textId="77777777" w:rsidR="00A9611C" w:rsidRPr="00A9611C" w:rsidRDefault="00A9611C" w:rsidP="00A9611C">
                      <w:pPr>
                        <w:numPr>
                          <w:ilvl w:val="0"/>
                          <w:numId w:val="26"/>
                        </w:numPr>
                        <w:tabs>
                          <w:tab w:val="num" w:pos="720"/>
                        </w:tabs>
                        <w:rPr>
                          <w:rFonts w:eastAsia="Batang"/>
                          <w:b/>
                          <w:lang w:val="en-US" w:eastAsia="zh-CN"/>
                        </w:rPr>
                      </w:pPr>
                      <w:r w:rsidRPr="00A9611C">
                        <w:rPr>
                          <w:rFonts w:eastAsia="Batang"/>
                          <w:b/>
                          <w:lang w:val="en-US" w:eastAsia="zh-CN"/>
                        </w:rPr>
                        <w:t xml:space="preserve">FFS: Whether SRS periodicity should be accounted in Rx-Tx time difference measurement period </w:t>
                      </w:r>
                    </w:p>
                    <w:p w14:paraId="37EE54D8" w14:textId="77777777" w:rsidR="00A9611C" w:rsidRPr="00A9611C" w:rsidRDefault="00A9611C" w:rsidP="00A9611C">
                      <w:pPr>
                        <w:numPr>
                          <w:ilvl w:val="0"/>
                          <w:numId w:val="26"/>
                        </w:numPr>
                        <w:tabs>
                          <w:tab w:val="num" w:pos="720"/>
                        </w:tabs>
                        <w:rPr>
                          <w:rFonts w:eastAsia="Batang"/>
                          <w:b/>
                          <w:lang w:val="en-US" w:eastAsia="zh-CN"/>
                        </w:rPr>
                      </w:pPr>
                      <w:r w:rsidRPr="00A9611C">
                        <w:rPr>
                          <w:rFonts w:eastAsia="Batang"/>
                          <w:b/>
                          <w:lang w:val="en-US" w:eastAsia="zh-CN"/>
                        </w:rPr>
                        <w:t>FFS: Whether SRS dropping should be accounted in measurement period</w:t>
                      </w:r>
                    </w:p>
                    <w:p w14:paraId="4D39A874" w14:textId="77777777" w:rsidR="00A9611C" w:rsidRPr="00A9611C" w:rsidRDefault="00A9611C" w:rsidP="00A9611C">
                      <w:pPr>
                        <w:numPr>
                          <w:ilvl w:val="0"/>
                          <w:numId w:val="26"/>
                        </w:numPr>
                        <w:tabs>
                          <w:tab w:val="num" w:pos="720"/>
                        </w:tabs>
                        <w:rPr>
                          <w:rFonts w:eastAsia="Batang"/>
                          <w:b/>
                          <w:lang w:val="en-US" w:eastAsia="zh-CN"/>
                        </w:rPr>
                      </w:pPr>
                      <w:bookmarkStart w:id="4" w:name="_Hlk46328343"/>
                      <w:r w:rsidRPr="00A9611C">
                        <w:rPr>
                          <w:rFonts w:eastAsia="Batang"/>
                          <w:b/>
                          <w:lang w:val="en-US" w:eastAsia="zh-CN"/>
                        </w:rPr>
                        <w:t>FFS: Measurement period with HO</w:t>
                      </w:r>
                    </w:p>
                    <w:p w14:paraId="380036A5"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Option 1. When the UE Rx-Tx time difference measurement period is extended, the extension depends on the number of serving cell changes and on the corresponding interruption time</w:t>
                      </w:r>
                    </w:p>
                    <w:p w14:paraId="7B3D1CDF"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Option 2. UE should re-start the Rx-Tx time difference measurement after cell change</w:t>
                      </w:r>
                    </w:p>
                    <w:p w14:paraId="72899B68" w14:textId="77777777" w:rsidR="00A9611C" w:rsidRPr="00A9611C" w:rsidRDefault="00A9611C" w:rsidP="00A9611C">
                      <w:pPr>
                        <w:numPr>
                          <w:ilvl w:val="0"/>
                          <w:numId w:val="26"/>
                        </w:numPr>
                        <w:tabs>
                          <w:tab w:val="num" w:pos="720"/>
                        </w:tabs>
                        <w:rPr>
                          <w:rFonts w:eastAsia="Batang"/>
                          <w:b/>
                          <w:lang w:val="en-US" w:eastAsia="zh-CN"/>
                        </w:rPr>
                      </w:pPr>
                      <w:r w:rsidRPr="00A9611C">
                        <w:rPr>
                          <w:rFonts w:eastAsia="Batang"/>
                          <w:b/>
                          <w:lang w:val="en-US" w:eastAsia="zh-CN"/>
                        </w:rPr>
                        <w:t>FFS: whether UE shall continue the UE Rx-Tx time difference measurement during which timing adjustment for its UL transmissions, autonomous adjustment or based on configured TA, occurred one or more times</w:t>
                      </w:r>
                    </w:p>
                    <w:p w14:paraId="241BE37D"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FFS: for UE autonomous adjustment and for network issued TA change</w:t>
                      </w:r>
                    </w:p>
                    <w:p w14:paraId="5CF2EBE1" w14:textId="77777777" w:rsidR="00A9611C" w:rsidRPr="00A9611C" w:rsidRDefault="00A9611C" w:rsidP="00A9611C">
                      <w:pPr>
                        <w:numPr>
                          <w:ilvl w:val="1"/>
                          <w:numId w:val="26"/>
                        </w:numPr>
                        <w:tabs>
                          <w:tab w:val="num" w:pos="1440"/>
                        </w:tabs>
                        <w:rPr>
                          <w:rFonts w:eastAsia="Batang"/>
                          <w:b/>
                          <w:lang w:val="en-US" w:eastAsia="zh-CN"/>
                        </w:rPr>
                      </w:pPr>
                      <w:r w:rsidRPr="00A9611C">
                        <w:rPr>
                          <w:rFonts w:eastAsia="Batang"/>
                          <w:b/>
                          <w:lang w:val="en-US" w:eastAsia="zh-CN"/>
                        </w:rPr>
                        <w:t>Consider the issue together with gNB Rx-Tx time difference measurement behavior</w:t>
                      </w:r>
                    </w:p>
                    <w:bookmarkEnd w:id="4"/>
                    <w:p w14:paraId="4839A030" w14:textId="49A8A99E" w:rsidR="00A9611C" w:rsidRPr="009C5EB9" w:rsidRDefault="00A9611C" w:rsidP="00A9611C">
                      <w:pPr>
                        <w:rPr>
                          <w:rFonts w:eastAsia="Batang"/>
                          <w:b/>
                          <w:lang w:eastAsia="zh-CN"/>
                        </w:rPr>
                      </w:pPr>
                    </w:p>
                  </w:txbxContent>
                </v:textbox>
                <w10:anchorlock/>
              </v:shape>
            </w:pict>
          </mc:Fallback>
        </mc:AlternateContent>
      </w:r>
    </w:p>
    <w:p w14:paraId="63EDA16F" w14:textId="37DDEDE3" w:rsidR="00043CFD" w:rsidRDefault="00043CFD" w:rsidP="00043CFD">
      <w:pPr>
        <w:rPr>
          <w:lang w:val="en-US"/>
        </w:rPr>
      </w:pPr>
      <w:r>
        <w:rPr>
          <w:lang w:val="en-US"/>
        </w:rPr>
        <w:t>One issue raised in last RAN4 meeting was whether the Rx-Tx time difference measurement period should be a function of max(T</w:t>
      </w:r>
      <w:r>
        <w:rPr>
          <w:vertAlign w:val="subscript"/>
          <w:lang w:val="en-US"/>
        </w:rPr>
        <w:t>PRS</w:t>
      </w:r>
      <w:r>
        <w:rPr>
          <w:lang w:val="en-US"/>
        </w:rPr>
        <w:t>, T</w:t>
      </w:r>
      <w:r>
        <w:rPr>
          <w:vertAlign w:val="subscript"/>
          <w:lang w:val="en-US"/>
        </w:rPr>
        <w:t>SRS</w:t>
      </w:r>
      <w:r>
        <w:rPr>
          <w:lang w:val="en-US"/>
        </w:rPr>
        <w:t xml:space="preserve">). In our view, this is unnecessary given our proposal on proximity of SRS and PRS in time (Section </w:t>
      </w:r>
      <w:r w:rsidR="00A9611C">
        <w:rPr>
          <w:lang w:val="en-US"/>
        </w:rPr>
        <w:t>3</w:t>
      </w:r>
      <w:r>
        <w:rPr>
          <w:lang w:val="en-US"/>
        </w:rPr>
        <w:t xml:space="preserve">). </w:t>
      </w:r>
    </w:p>
    <w:p w14:paraId="0C7DA712" w14:textId="7DEE01A6" w:rsidR="00043CFD" w:rsidRDefault="00043CFD" w:rsidP="00043CFD">
      <w:pPr>
        <w:rPr>
          <w:b/>
          <w:bCs/>
          <w:lang w:val="en-US"/>
        </w:rPr>
      </w:pPr>
      <w:r w:rsidRPr="008111DB">
        <w:rPr>
          <w:b/>
          <w:bCs/>
          <w:lang w:val="en-US"/>
        </w:rPr>
        <w:t>Observation</w:t>
      </w:r>
      <w:r>
        <w:rPr>
          <w:b/>
          <w:bCs/>
          <w:lang w:val="en-US"/>
        </w:rPr>
        <w:t xml:space="preserve"> </w:t>
      </w:r>
      <w:r w:rsidR="00A9611C">
        <w:rPr>
          <w:b/>
          <w:bCs/>
          <w:lang w:val="en-US"/>
        </w:rPr>
        <w:t>5</w:t>
      </w:r>
      <w:r w:rsidRPr="008111DB">
        <w:rPr>
          <w:b/>
          <w:bCs/>
          <w:lang w:val="en-US"/>
        </w:rPr>
        <w:t>. It is not necessary to make the UE Rx-Tx time difference measurement period a function of T</w:t>
      </w:r>
      <w:r w:rsidRPr="008111DB">
        <w:rPr>
          <w:b/>
          <w:bCs/>
          <w:vertAlign w:val="subscript"/>
          <w:lang w:val="en-US"/>
        </w:rPr>
        <w:t>SRS</w:t>
      </w:r>
      <w:r w:rsidRPr="008111DB">
        <w:rPr>
          <w:b/>
          <w:bCs/>
          <w:lang w:val="en-US"/>
        </w:rPr>
        <w:t>.</w:t>
      </w:r>
    </w:p>
    <w:p w14:paraId="2EC2423B" w14:textId="0B7719E1" w:rsidR="00350ED7" w:rsidRPr="00350ED7" w:rsidRDefault="00350ED7" w:rsidP="00043CFD">
      <w:pPr>
        <w:rPr>
          <w:lang w:val="en-US"/>
        </w:rPr>
      </w:pPr>
      <w:r w:rsidRPr="00350ED7">
        <w:rPr>
          <w:lang w:val="en-US"/>
        </w:rPr>
        <w:t>Similar to RSTD measurements, our view is that SRS dropping for any reason should not be considered in the definition of the measurement period.</w:t>
      </w:r>
    </w:p>
    <w:p w14:paraId="7328841C" w14:textId="772CCD22" w:rsidR="00350ED7" w:rsidRDefault="00350ED7" w:rsidP="00043CFD">
      <w:pPr>
        <w:rPr>
          <w:b/>
          <w:bCs/>
          <w:lang w:val="en-US"/>
        </w:rPr>
      </w:pPr>
      <w:r>
        <w:rPr>
          <w:b/>
          <w:bCs/>
          <w:lang w:val="en-US"/>
        </w:rPr>
        <w:t>Proposal 4. RAN4 to define requirements for UE Rx-Tx time difference measurement period assuming no SRS dropping due to any reason.</w:t>
      </w:r>
    </w:p>
    <w:p w14:paraId="0CC69262" w14:textId="3150284E" w:rsidR="005D0487" w:rsidRDefault="005D0487" w:rsidP="00043CFD">
      <w:pPr>
        <w:rPr>
          <w:lang w:val="en-US"/>
        </w:rPr>
      </w:pPr>
      <w:r>
        <w:rPr>
          <w:lang w:val="en-US"/>
        </w:rPr>
        <w:t xml:space="preserve">Regarding measurement period with HO, it is noted that in general, SRS has to be reconfigured in the target cell when HO is complete. Hence, the measurement period should account for this reconfiguration and since such reconfiguration is typically not quantified in RAN4, our preference is to assume that Rx-Tx time difference measurement period restarts from the time that SRS reconfiguration in the target cell is complete. It is also noted that this is not equivalent of positioning session restarting; UE cannot restart a positioning session measurement; only LMF can. </w:t>
      </w:r>
    </w:p>
    <w:p w14:paraId="6B270FED" w14:textId="2D30159B" w:rsidR="005D0487" w:rsidRPr="005D0487" w:rsidRDefault="005D0487" w:rsidP="00043CFD">
      <w:pPr>
        <w:rPr>
          <w:b/>
          <w:bCs/>
          <w:lang w:val="en-US"/>
        </w:rPr>
      </w:pPr>
      <w:r w:rsidRPr="005D0487">
        <w:rPr>
          <w:b/>
          <w:bCs/>
          <w:lang w:val="en-US"/>
        </w:rPr>
        <w:t xml:space="preserve">Proposal 5. UE Rx-Tx time difference measurement period is restarted after HO when SRS reconfiguration on the target cell is complete. </w:t>
      </w:r>
    </w:p>
    <w:p w14:paraId="51B5D988" w14:textId="6E991F30" w:rsidR="00091B0E" w:rsidRDefault="00091B0E" w:rsidP="00043CFD">
      <w:pPr>
        <w:rPr>
          <w:lang w:val="en-US"/>
        </w:rPr>
      </w:pPr>
      <w:r>
        <w:rPr>
          <w:lang w:val="en-US"/>
        </w:rPr>
        <w:lastRenderedPageBreak/>
        <w:t xml:space="preserve">On timing adjustment for UE UL transmission, as agreed for the accuracy requirements, the measurement requirements should not be applicable if a TA change is received during the measurement period. However, autonomous adjustment of timing can be compensated and handled by UE when reporting UE Rx-Tx time difference measurement report. </w:t>
      </w:r>
    </w:p>
    <w:p w14:paraId="034E6C2D" w14:textId="72795D3F" w:rsidR="00091B0E" w:rsidRPr="00091B0E" w:rsidRDefault="00091B0E" w:rsidP="00043CFD">
      <w:pPr>
        <w:rPr>
          <w:b/>
          <w:bCs/>
          <w:lang w:val="en-US"/>
        </w:rPr>
      </w:pPr>
      <w:r w:rsidRPr="00091B0E">
        <w:rPr>
          <w:b/>
          <w:bCs/>
          <w:lang w:val="en-US"/>
        </w:rPr>
        <w:t>Proposal</w:t>
      </w:r>
      <w:r w:rsidR="005D0487">
        <w:rPr>
          <w:b/>
          <w:bCs/>
          <w:lang w:val="en-US"/>
        </w:rPr>
        <w:t xml:space="preserve"> 6</w:t>
      </w:r>
      <w:r w:rsidRPr="00091B0E">
        <w:rPr>
          <w:b/>
          <w:bCs/>
          <w:lang w:val="en-US"/>
        </w:rPr>
        <w:t>. UE Rx-Tx time difference measurement requirements are not applicable if TA change is received during the measurement period. UE Rx-Tx time difference measurement requirements are applicable for UE autonomous adjustment of UL timing.</w:t>
      </w:r>
    </w:p>
    <w:p w14:paraId="6C28FBF8" w14:textId="64F0E791" w:rsidR="00AB4E65" w:rsidRPr="00C5637E" w:rsidRDefault="006F6BE1" w:rsidP="00043CFD">
      <w:pPr>
        <w:pStyle w:val="Heading1"/>
        <w:rPr>
          <w:lang w:val="en-US"/>
        </w:rPr>
      </w:pPr>
      <w:r>
        <w:rPr>
          <w:lang w:val="en-US"/>
        </w:rPr>
        <w:t xml:space="preserve"> </w:t>
      </w:r>
      <w:r w:rsidR="00082354">
        <w:rPr>
          <w:lang w:val="en-US"/>
        </w:rPr>
        <w:t xml:space="preserve">Measurement </w:t>
      </w:r>
      <w:r>
        <w:rPr>
          <w:lang w:val="en-US"/>
        </w:rPr>
        <w:t xml:space="preserve">Accuracy </w:t>
      </w:r>
    </w:p>
    <w:p w14:paraId="7A865A77" w14:textId="71436EE5" w:rsidR="00AB4E65" w:rsidRDefault="00A90BDB" w:rsidP="00AB4E65">
      <w:pPr>
        <w:rPr>
          <w:lang w:eastAsia="en-GB"/>
        </w:rPr>
      </w:pPr>
      <w:r>
        <w:rPr>
          <w:lang w:val="en-US"/>
        </w:rPr>
        <w:t xml:space="preserve">In our understanding, the </w:t>
      </w:r>
      <w:r w:rsidR="00EF547C">
        <w:rPr>
          <w:lang w:val="en-US"/>
        </w:rPr>
        <w:t xml:space="preserve">number of samples used for measuring </w:t>
      </w:r>
      <w:r w:rsidR="00EF547C">
        <w:rPr>
          <w:lang w:eastAsia="en-GB"/>
        </w:rPr>
        <w:t>T</w:t>
      </w:r>
      <w:r w:rsidR="00EF547C">
        <w:rPr>
          <w:vertAlign w:val="subscript"/>
          <w:lang w:eastAsia="en-GB"/>
        </w:rPr>
        <w:t>UE-RX</w:t>
      </w:r>
      <w:r w:rsidR="001C3B3D">
        <w:rPr>
          <w:vertAlign w:val="subscript"/>
          <w:lang w:eastAsia="en-GB"/>
        </w:rPr>
        <w:t xml:space="preserve"> </w:t>
      </w:r>
      <w:r w:rsidR="001C3B3D">
        <w:rPr>
          <w:lang w:eastAsia="en-GB"/>
        </w:rPr>
        <w:t xml:space="preserve">in Rx-Tx timing difference measurement </w:t>
      </w:r>
      <w:r w:rsidR="002226D7">
        <w:rPr>
          <w:lang w:eastAsia="en-GB"/>
        </w:rPr>
        <w:t xml:space="preserve">should be the same as the number of samples used for RSTD measurement. In both types of measurements, UE measures TOA of </w:t>
      </w:r>
      <w:r w:rsidR="001D7DA2">
        <w:rPr>
          <w:lang w:eastAsia="en-GB"/>
        </w:rPr>
        <w:t xml:space="preserve">one or two cells. Thus, if </w:t>
      </w:r>
      <w:r w:rsidR="000E0B94">
        <w:rPr>
          <w:lang w:eastAsia="en-GB"/>
        </w:rPr>
        <w:t xml:space="preserve">number of </w:t>
      </w:r>
      <w:r w:rsidR="000E0B94" w:rsidRPr="005B1EF2">
        <w:rPr>
          <w:lang w:eastAsia="en-GB"/>
        </w:rPr>
        <w:t xml:space="preserve">samples (defined as </w:t>
      </w:r>
      <w:r w:rsidR="003E57A6" w:rsidRPr="005B1EF2">
        <w:rPr>
          <w:lang w:val="en-US"/>
        </w:rPr>
        <w:t xml:space="preserve">the time duration spanned by one DL PRS resource after repetition by </w:t>
      </w:r>
      <w:r w:rsidR="003E57A6" w:rsidRPr="005B1EF2">
        <w:rPr>
          <w:i/>
          <w:iCs/>
          <w:lang w:val="en-US"/>
        </w:rPr>
        <w:t>DL-PRS-ResourceRepetitionFactor</w:t>
      </w:r>
      <w:r w:rsidR="005B1EF2" w:rsidRPr="005B1EF2">
        <w:rPr>
          <w:lang w:val="en-US"/>
        </w:rPr>
        <w:t>)</w:t>
      </w:r>
      <w:r w:rsidR="005B1EF2">
        <w:rPr>
          <w:lang w:val="en-US"/>
        </w:rPr>
        <w:t xml:space="preserve"> </w:t>
      </w:r>
      <w:r w:rsidR="000E0B94" w:rsidRPr="005B1EF2">
        <w:rPr>
          <w:lang w:eastAsia="en-GB"/>
        </w:rPr>
        <w:t>used</w:t>
      </w:r>
      <w:r w:rsidR="000E0B94">
        <w:rPr>
          <w:lang w:eastAsia="en-GB"/>
        </w:rPr>
        <w:t xml:space="preserve"> for RSTD estimation is </w:t>
      </w:r>
      <m:oMath>
        <m:r>
          <w:rPr>
            <w:rFonts w:ascii="Cambria Math" w:hAnsi="Cambria Math"/>
            <w:lang w:eastAsia="en-GB"/>
          </w:rPr>
          <m:t>N</m:t>
        </m:r>
      </m:oMath>
      <w:r w:rsidR="002869DB">
        <w:rPr>
          <w:lang w:eastAsia="en-GB"/>
        </w:rPr>
        <w:t xml:space="preserve">, the number of samples for Rx-Tx timing measurement should also be </w:t>
      </w:r>
      <m:oMath>
        <m:r>
          <w:rPr>
            <w:rFonts w:ascii="Cambria Math" w:hAnsi="Cambria Math"/>
            <w:lang w:eastAsia="en-GB"/>
          </w:rPr>
          <m:t>N</m:t>
        </m:r>
      </m:oMath>
      <w:r w:rsidR="00A31ECC">
        <w:rPr>
          <w:lang w:eastAsia="en-GB"/>
        </w:rPr>
        <w:t>.</w:t>
      </w:r>
    </w:p>
    <w:p w14:paraId="43022EBE" w14:textId="25C7EC7B" w:rsidR="00A31ECC" w:rsidRDefault="00A31ECC" w:rsidP="00AB4E65">
      <w:pPr>
        <w:rPr>
          <w:b/>
          <w:bCs/>
          <w:lang w:eastAsia="en-GB"/>
        </w:rPr>
      </w:pPr>
      <w:r w:rsidRPr="00CF16C1">
        <w:rPr>
          <w:b/>
          <w:bCs/>
          <w:lang w:eastAsia="en-GB"/>
        </w:rPr>
        <w:t>Proposal</w:t>
      </w:r>
      <w:r w:rsidR="00B81B68">
        <w:rPr>
          <w:b/>
          <w:bCs/>
          <w:lang w:eastAsia="en-GB"/>
        </w:rPr>
        <w:t xml:space="preserve"> </w:t>
      </w:r>
      <w:r w:rsidR="005D0487">
        <w:rPr>
          <w:b/>
          <w:bCs/>
          <w:lang w:eastAsia="en-GB"/>
        </w:rPr>
        <w:t>7</w:t>
      </w:r>
      <w:r w:rsidRPr="00CF16C1">
        <w:rPr>
          <w:b/>
          <w:bCs/>
          <w:lang w:eastAsia="en-GB"/>
        </w:rPr>
        <w:t xml:space="preserve">. </w:t>
      </w:r>
      <w:r w:rsidR="00CB4A90" w:rsidRPr="00CF16C1">
        <w:rPr>
          <w:b/>
          <w:bCs/>
          <w:lang w:eastAsia="en-GB"/>
        </w:rPr>
        <w:t xml:space="preserve">The number of samples, </w:t>
      </w:r>
      <m:oMath>
        <m:r>
          <m:rPr>
            <m:sty m:val="bi"/>
          </m:rPr>
          <w:rPr>
            <w:rFonts w:ascii="Cambria Math" w:hAnsi="Cambria Math"/>
            <w:lang w:eastAsia="en-GB"/>
          </w:rPr>
          <m:t>N</m:t>
        </m:r>
      </m:oMath>
      <w:r w:rsidR="00CB4A90" w:rsidRPr="00CF16C1">
        <w:rPr>
          <w:b/>
          <w:bCs/>
          <w:lang w:eastAsia="en-GB"/>
        </w:rPr>
        <w:t>, used to define the accuracy requirements of Rx-Tx timing difference measurement</w:t>
      </w:r>
      <w:r w:rsidR="00CF16C1" w:rsidRPr="00CF16C1">
        <w:rPr>
          <w:b/>
          <w:bCs/>
          <w:lang w:eastAsia="en-GB"/>
        </w:rPr>
        <w:t xml:space="preserve"> to be the same as the number of samples used to define the accuracy requirements for RSTD measurements. </w:t>
      </w:r>
    </w:p>
    <w:p w14:paraId="7DB43699" w14:textId="0B0AD57C" w:rsidR="00A619A0" w:rsidRDefault="002512F5" w:rsidP="00AB4E65">
      <w:pPr>
        <w:rPr>
          <w:lang w:val="en-US"/>
        </w:rPr>
      </w:pPr>
      <w:r>
        <w:rPr>
          <w:lang w:val="en-US"/>
        </w:rPr>
        <w:t>Moreover, it is noted that:</w:t>
      </w:r>
    </w:p>
    <w:p w14:paraId="63701C07" w14:textId="10043A54" w:rsidR="002512F5" w:rsidRPr="000A0758" w:rsidRDefault="002512F5" w:rsidP="002512F5">
      <w:pPr>
        <w:rPr>
          <w:b/>
          <w:bCs/>
          <w:lang w:val="en-US"/>
        </w:rPr>
      </w:pPr>
      <w:r w:rsidRPr="000A0758">
        <w:rPr>
          <w:b/>
          <w:bCs/>
        </w:rPr>
        <w:t>Observation</w:t>
      </w:r>
      <w:r w:rsidR="0057360D">
        <w:rPr>
          <w:b/>
          <w:bCs/>
        </w:rPr>
        <w:t xml:space="preserve"> </w:t>
      </w:r>
      <w:r w:rsidR="00B7698F">
        <w:rPr>
          <w:b/>
          <w:bCs/>
        </w:rPr>
        <w:t>6</w:t>
      </w:r>
      <w:r w:rsidRPr="000A0758">
        <w:rPr>
          <w:b/>
          <w:bCs/>
        </w:rPr>
        <w:t xml:space="preserve">. </w:t>
      </w:r>
      <w:r w:rsidRPr="000A0758">
        <w:rPr>
          <w:b/>
          <w:bCs/>
          <w:lang w:val="en-US"/>
        </w:rPr>
        <w:t xml:space="preserve">Two factors impact the accuracy requirements of </w:t>
      </w:r>
      <w:r>
        <w:rPr>
          <w:b/>
          <w:bCs/>
          <w:lang w:val="en-US"/>
        </w:rPr>
        <w:t>gNB/</w:t>
      </w:r>
      <w:r w:rsidRPr="000A0758">
        <w:rPr>
          <w:b/>
          <w:bCs/>
          <w:lang w:val="en-US"/>
        </w:rPr>
        <w:t>UE Rx-Tx time difference measurement:</w:t>
      </w:r>
    </w:p>
    <w:p w14:paraId="5EF01AD9" w14:textId="7D9D16A7" w:rsidR="002512F5" w:rsidRPr="000A0758" w:rsidRDefault="00503219" w:rsidP="00CA03BB">
      <w:pPr>
        <w:pStyle w:val="ListParagraph"/>
        <w:numPr>
          <w:ilvl w:val="0"/>
          <w:numId w:val="17"/>
        </w:numPr>
        <w:rPr>
          <w:b/>
          <w:bCs/>
          <w:sz w:val="20"/>
          <w:szCs w:val="20"/>
        </w:rPr>
      </w:pPr>
      <w:r w:rsidRPr="00503219">
        <w:rPr>
          <w:b/>
          <w:bCs/>
          <w:sz w:val="20"/>
          <w:szCs w:val="20"/>
          <w:lang w:eastAsia="en-GB"/>
        </w:rPr>
        <w:t>T</w:t>
      </w:r>
      <w:r w:rsidRPr="00503219">
        <w:rPr>
          <w:b/>
          <w:bCs/>
          <w:sz w:val="20"/>
          <w:szCs w:val="20"/>
          <w:vertAlign w:val="subscript"/>
          <w:lang w:eastAsia="en-GB"/>
        </w:rPr>
        <w:t>UE-RX</w:t>
      </w:r>
      <w:r w:rsidRPr="00503219">
        <w:rPr>
          <w:sz w:val="20"/>
          <w:szCs w:val="20"/>
          <w:vertAlign w:val="subscript"/>
          <w:lang w:eastAsia="en-GB"/>
        </w:rPr>
        <w:t xml:space="preserve"> </w:t>
      </w:r>
      <w:r w:rsidR="002512F5" w:rsidRPr="000A0758">
        <w:rPr>
          <w:b/>
          <w:bCs/>
          <w:sz w:val="20"/>
          <w:szCs w:val="20"/>
        </w:rPr>
        <w:t>estimation error from DL PRS</w:t>
      </w:r>
      <w:r w:rsidR="002512F5">
        <w:rPr>
          <w:b/>
          <w:bCs/>
          <w:sz w:val="20"/>
          <w:szCs w:val="20"/>
        </w:rPr>
        <w:t xml:space="preserve"> (for UE) or UL SRS (for gNB)</w:t>
      </w:r>
      <w:r w:rsidR="002512F5" w:rsidRPr="000A0758">
        <w:rPr>
          <w:b/>
          <w:bCs/>
          <w:sz w:val="20"/>
          <w:szCs w:val="20"/>
        </w:rPr>
        <w:t xml:space="preserve"> resources</w:t>
      </w:r>
    </w:p>
    <w:p w14:paraId="3C42DCA9" w14:textId="77777777" w:rsidR="002512F5" w:rsidRPr="000A0758" w:rsidRDefault="002512F5" w:rsidP="00CA03BB">
      <w:pPr>
        <w:pStyle w:val="ListParagraph"/>
        <w:numPr>
          <w:ilvl w:val="0"/>
          <w:numId w:val="17"/>
        </w:numPr>
        <w:rPr>
          <w:b/>
          <w:bCs/>
          <w:sz w:val="20"/>
          <w:szCs w:val="20"/>
        </w:rPr>
      </w:pPr>
      <w:r w:rsidRPr="000A0758">
        <w:rPr>
          <w:b/>
          <w:bCs/>
          <w:sz w:val="20"/>
          <w:szCs w:val="20"/>
        </w:rPr>
        <w:t>Rx-Tx calibration error</w:t>
      </w:r>
    </w:p>
    <w:p w14:paraId="39ACB536" w14:textId="3F899AC9" w:rsidR="002512F5" w:rsidRDefault="002512F5" w:rsidP="00AB4E65">
      <w:pPr>
        <w:rPr>
          <w:lang w:val="en-US"/>
        </w:rPr>
      </w:pPr>
    </w:p>
    <w:p w14:paraId="2ABD7099" w14:textId="06A87AA4" w:rsidR="001905D0" w:rsidRDefault="001905D0" w:rsidP="001905D0">
      <w:pPr>
        <w:rPr>
          <w:lang w:val="en-US"/>
        </w:rPr>
      </w:pPr>
      <w:r>
        <w:rPr>
          <w:lang w:val="en-US"/>
        </w:rPr>
        <w:t xml:space="preserve">Regarding the Rx-Tx calibration error, the error budget should be viewed holistically from both gNB and UE perspective. The performance and accuracy of multi-RTT depends on Rx-Tx calibration error on both UE and gNB side. Hence, allocating a small error budget on one side (UE or gNB) while permitting a disproportionately larger error budget on the other side is nonsensical. </w:t>
      </w:r>
    </w:p>
    <w:p w14:paraId="08511C75" w14:textId="3021C57E" w:rsidR="001905D0" w:rsidRDefault="001905D0" w:rsidP="00AB4E65">
      <w:pPr>
        <w:rPr>
          <w:b/>
          <w:bCs/>
          <w:lang w:val="en-US"/>
        </w:rPr>
      </w:pPr>
      <w:r w:rsidRPr="009B7067">
        <w:rPr>
          <w:b/>
          <w:bCs/>
          <w:lang w:val="en-US"/>
        </w:rPr>
        <w:t>Observation</w:t>
      </w:r>
      <w:r w:rsidR="0057360D">
        <w:rPr>
          <w:b/>
          <w:bCs/>
          <w:lang w:val="en-US"/>
        </w:rPr>
        <w:t xml:space="preserve"> </w:t>
      </w:r>
      <w:r w:rsidR="00B7698F">
        <w:rPr>
          <w:b/>
          <w:bCs/>
          <w:lang w:val="en-US"/>
        </w:rPr>
        <w:t>7</w:t>
      </w:r>
      <w:r w:rsidRPr="009B7067">
        <w:rPr>
          <w:b/>
          <w:bCs/>
          <w:lang w:val="en-US"/>
        </w:rPr>
        <w:t>. The performance and accuracy of multi-RTT depends on Rx-Tx calibration error on both UE and gNB. Hence, the error budget should be viewed holistically from both sides. Allocating a small error budget on one side (UE or gNB) while permitting a disproportionately larger error budget on the other side is nonsensical.</w:t>
      </w:r>
    </w:p>
    <w:p w14:paraId="7BD51DD6" w14:textId="46AD5D79" w:rsidR="006B6ED3" w:rsidRDefault="006B6ED3" w:rsidP="00AB4E65">
      <w:pPr>
        <w:rPr>
          <w:lang w:val="en-US"/>
        </w:rPr>
      </w:pPr>
      <w:r>
        <w:rPr>
          <w:lang w:val="en-US"/>
        </w:rPr>
        <w:t xml:space="preserve">In last RAN4 meeting, some company proposed having separate accuracy requirements for serving and neighbor cells. We disagree with this proposal and do not believe that such segregation is necessary. Accuracy requirements shall be based on one set of side conditions </w:t>
      </w:r>
      <w:r w:rsidR="001930FF">
        <w:rPr>
          <w:lang w:val="en-US"/>
        </w:rPr>
        <w:t xml:space="preserve">(as discussed in Section 6.2) and as long as the side condition is met, accuracy requirements are applicable regardless of whether </w:t>
      </w:r>
      <w:r w:rsidR="00966CD8">
        <w:rPr>
          <w:lang w:val="en-US"/>
        </w:rPr>
        <w:t>the measurement is on the serving or neighbor cell.</w:t>
      </w:r>
    </w:p>
    <w:p w14:paraId="03E7B2E4" w14:textId="6D54A909" w:rsidR="00A62E56" w:rsidRDefault="00A62E56" w:rsidP="00AB4E65">
      <w:pPr>
        <w:rPr>
          <w:b/>
          <w:bCs/>
          <w:lang w:val="en-US"/>
        </w:rPr>
      </w:pPr>
      <w:r w:rsidRPr="00953606">
        <w:rPr>
          <w:b/>
          <w:bCs/>
          <w:lang w:val="en-US"/>
        </w:rPr>
        <w:t>Proposal</w:t>
      </w:r>
      <w:r w:rsidR="005902C2">
        <w:rPr>
          <w:b/>
          <w:bCs/>
          <w:lang w:val="en-US"/>
        </w:rPr>
        <w:t xml:space="preserve"> </w:t>
      </w:r>
      <w:r w:rsidR="005D0487">
        <w:rPr>
          <w:b/>
          <w:bCs/>
          <w:lang w:val="en-US"/>
        </w:rPr>
        <w:t>8</w:t>
      </w:r>
      <w:r w:rsidRPr="00953606">
        <w:rPr>
          <w:b/>
          <w:bCs/>
          <w:lang w:val="en-US"/>
        </w:rPr>
        <w:t>. O</w:t>
      </w:r>
      <w:r w:rsidR="00953606" w:rsidRPr="00953606">
        <w:rPr>
          <w:b/>
          <w:bCs/>
          <w:lang w:val="en-US"/>
        </w:rPr>
        <w:t xml:space="preserve">nly one set of accuracy requirements applicable to both serving and neighbor cells to be defined. </w:t>
      </w:r>
    </w:p>
    <w:p w14:paraId="05109B46" w14:textId="4D353829" w:rsidR="00F2107A" w:rsidRDefault="0032488E" w:rsidP="005D6C7D">
      <w:pPr>
        <w:pStyle w:val="Heading1"/>
        <w:rPr>
          <w:lang w:val="en-US"/>
        </w:rPr>
      </w:pPr>
      <w:r>
        <w:rPr>
          <w:lang w:val="en-US"/>
        </w:rPr>
        <w:t>Con</w:t>
      </w:r>
      <w:r w:rsidR="00F2107A">
        <w:rPr>
          <w:lang w:val="en-US"/>
        </w:rPr>
        <w:t>clusions</w:t>
      </w:r>
    </w:p>
    <w:p w14:paraId="758718EE" w14:textId="77777777" w:rsidR="00B7698F" w:rsidRPr="00BC0DE0" w:rsidRDefault="00B7698F" w:rsidP="00B7698F">
      <w:pPr>
        <w:rPr>
          <w:b/>
          <w:bCs/>
          <w:lang w:val="en-US"/>
        </w:rPr>
      </w:pPr>
      <w:r w:rsidRPr="00BC0DE0">
        <w:rPr>
          <w:b/>
          <w:bCs/>
          <w:lang w:val="en-US"/>
        </w:rPr>
        <w:t>Observation</w:t>
      </w:r>
      <w:r>
        <w:rPr>
          <w:b/>
          <w:bCs/>
          <w:lang w:val="en-US"/>
        </w:rPr>
        <w:t xml:space="preserve"> 1</w:t>
      </w:r>
      <w:r w:rsidRPr="00BC0DE0">
        <w:rPr>
          <w:b/>
          <w:bCs/>
          <w:lang w:val="en-US"/>
        </w:rPr>
        <w:t>. Minimum capabilities defined in RAN1 are more than sufficient to make</w:t>
      </w:r>
      <w:r>
        <w:rPr>
          <w:b/>
          <w:bCs/>
          <w:lang w:val="en-US"/>
        </w:rPr>
        <w:t xml:space="preserve"> multi-RTT </w:t>
      </w:r>
      <w:r w:rsidRPr="00BC0DE0">
        <w:rPr>
          <w:b/>
          <w:bCs/>
          <w:lang w:val="en-US"/>
        </w:rPr>
        <w:t>work in any scenario.</w:t>
      </w:r>
    </w:p>
    <w:p w14:paraId="5AD44D88" w14:textId="77777777" w:rsidR="00B7698F" w:rsidRDefault="00B7698F" w:rsidP="00B7698F">
      <w:pPr>
        <w:rPr>
          <w:b/>
          <w:bCs/>
          <w:lang w:val="en-US"/>
        </w:rPr>
      </w:pPr>
      <w:r w:rsidRPr="00BC0DE0">
        <w:rPr>
          <w:b/>
          <w:bCs/>
          <w:lang w:val="en-US"/>
        </w:rPr>
        <w:t>Proposal</w:t>
      </w:r>
      <w:r>
        <w:rPr>
          <w:b/>
          <w:bCs/>
          <w:lang w:val="en-US"/>
        </w:rPr>
        <w:t xml:space="preserve"> 1</w:t>
      </w:r>
      <w:r w:rsidRPr="00BC0DE0">
        <w:rPr>
          <w:b/>
          <w:bCs/>
          <w:lang w:val="en-US"/>
        </w:rPr>
        <w:t xml:space="preserve">. RAN4 to not define a minimum value for number of </w:t>
      </w:r>
      <w:r>
        <w:rPr>
          <w:b/>
          <w:bCs/>
          <w:lang w:val="en-US"/>
        </w:rPr>
        <w:t>UE Rx-Tx</w:t>
      </w:r>
      <w:r w:rsidRPr="00BC0DE0">
        <w:rPr>
          <w:b/>
          <w:bCs/>
          <w:lang w:val="en-US"/>
        </w:rPr>
        <w:t xml:space="preserve"> measurements that UE shall be capable of reporting. </w:t>
      </w:r>
    </w:p>
    <w:p w14:paraId="68B5C10D" w14:textId="77777777" w:rsidR="00B7698F" w:rsidRPr="00E62F31" w:rsidRDefault="00B7698F" w:rsidP="00B7698F">
      <w:pPr>
        <w:rPr>
          <w:b/>
          <w:bCs/>
          <w:lang w:val="en-US"/>
        </w:rPr>
      </w:pPr>
      <w:r w:rsidRPr="00E62F31">
        <w:rPr>
          <w:b/>
          <w:bCs/>
          <w:lang w:val="en-US"/>
        </w:rPr>
        <w:t xml:space="preserve">Proposal 2. Basic requirements for UE Rx-Tx time difference measurements shall be based on the assumption that positioning SRS resources are in the same band as PRS frequency layers. </w:t>
      </w:r>
    </w:p>
    <w:p w14:paraId="0BCA53A3" w14:textId="77777777" w:rsidR="00B7698F" w:rsidRDefault="00B7698F" w:rsidP="00B7698F">
      <w:pPr>
        <w:pStyle w:val="Caption"/>
        <w:jc w:val="both"/>
      </w:pPr>
      <w:r>
        <w:t>Observation 2. UE motion, UE clock drift and gNB clock drift can result in significant errors for measurements that are performed apart in time but are all used to generate the same position fix.</w:t>
      </w:r>
    </w:p>
    <w:p w14:paraId="08976233" w14:textId="77777777" w:rsidR="00B7698F" w:rsidRPr="00B76499" w:rsidRDefault="00B7698F" w:rsidP="00B7698F">
      <w:pPr>
        <w:rPr>
          <w:b/>
          <w:bCs/>
          <w:lang w:val="en-US"/>
        </w:rPr>
      </w:pPr>
      <w:r w:rsidRPr="001D2900">
        <w:rPr>
          <w:b/>
          <w:bCs/>
          <w:lang w:val="en-US"/>
        </w:rPr>
        <w:lastRenderedPageBreak/>
        <w:t>Observation</w:t>
      </w:r>
      <w:r>
        <w:rPr>
          <w:b/>
          <w:bCs/>
          <w:lang w:val="en-US"/>
        </w:rPr>
        <w:t xml:space="preserve"> 3</w:t>
      </w:r>
      <w:r w:rsidRPr="001D2900">
        <w:rPr>
          <w:b/>
          <w:bCs/>
          <w:lang w:val="en-US"/>
        </w:rPr>
        <w:t>. SRS for positioning is configured on-demand and released when positioning session is completed. With sparse PRS periods, there is sufficient capacity for SRS transmission both within and outside of the [-25, 25]ms range of every PRS period.</w:t>
      </w:r>
    </w:p>
    <w:p w14:paraId="45CB890B" w14:textId="77777777" w:rsidR="00B7698F" w:rsidRPr="00B1105B" w:rsidRDefault="00B7698F" w:rsidP="00B7698F">
      <w:pPr>
        <w:pStyle w:val="Caption"/>
        <w:spacing w:after="0"/>
      </w:pPr>
      <w:bookmarkStart w:id="4" w:name="_Hlk47432011"/>
      <w:r w:rsidRPr="00B1105B">
        <w:t>Proposal 3. Regarding the proximity of SRS transmission with PRS reception, RAN4 to down-select from the following two options:</w:t>
      </w:r>
    </w:p>
    <w:p w14:paraId="2C554596" w14:textId="43C6D0B4" w:rsidR="00B7698F" w:rsidRPr="00B1105B" w:rsidRDefault="00B7698F" w:rsidP="00B7698F">
      <w:pPr>
        <w:pStyle w:val="Caption"/>
        <w:numPr>
          <w:ilvl w:val="0"/>
          <w:numId w:val="29"/>
        </w:numPr>
        <w:spacing w:after="0"/>
      </w:pPr>
      <w:r w:rsidRPr="00B1105B">
        <w:t xml:space="preserve">Option A: The measurement </w:t>
      </w:r>
      <w:r w:rsidR="00BB72A8">
        <w:t xml:space="preserve">accuracy </w:t>
      </w:r>
      <w:r w:rsidRPr="00B1105B">
        <w:t xml:space="preserve">requirements for UE Rx-Tx time difference is applicable only if the configured parameters </w:t>
      </w:r>
      <w:r w:rsidRPr="00B1105B">
        <w:rPr>
          <w:i/>
          <w:iCs/>
        </w:rPr>
        <w:t>SRS-Slot-offset</w:t>
      </w:r>
      <w:r w:rsidRPr="00B1105B">
        <w:t xml:space="preserve"> and </w:t>
      </w:r>
      <w:r w:rsidRPr="00B1105B">
        <w:rPr>
          <w:i/>
          <w:iCs/>
        </w:rPr>
        <w:t>SRS-Periodicity</w:t>
      </w:r>
      <w:r w:rsidRPr="00B1105B">
        <w:t xml:space="preserve"> for SRS resource for positioning are such that any SRS transmission is within [-25, 25] ms of at least one DL PRS resource of each of the TRPs in the assistance data. </w:t>
      </w:r>
    </w:p>
    <w:p w14:paraId="5E5B561F" w14:textId="6B986578" w:rsidR="00B7698F" w:rsidRPr="00B1105B" w:rsidRDefault="00B7698F" w:rsidP="00B7698F">
      <w:pPr>
        <w:pStyle w:val="ListParagraph"/>
        <w:numPr>
          <w:ilvl w:val="1"/>
          <w:numId w:val="29"/>
        </w:numPr>
        <w:rPr>
          <w:b/>
          <w:sz w:val="20"/>
          <w:szCs w:val="20"/>
        </w:rPr>
      </w:pPr>
      <w:r w:rsidRPr="00B1105B">
        <w:rPr>
          <w:b/>
          <w:sz w:val="20"/>
          <w:szCs w:val="20"/>
        </w:rPr>
        <w:t xml:space="preserve">NOTE: </w:t>
      </w:r>
      <w:r w:rsidR="00BB72A8">
        <w:rPr>
          <w:b/>
          <w:sz w:val="20"/>
          <w:szCs w:val="20"/>
        </w:rPr>
        <w:t>Accuracy</w:t>
      </w:r>
      <w:r w:rsidRPr="00B1105B">
        <w:rPr>
          <w:b/>
          <w:sz w:val="20"/>
          <w:szCs w:val="20"/>
        </w:rPr>
        <w:t xml:space="preserve"> requirements shall be independent of PRS and SRS separation with option A</w:t>
      </w:r>
    </w:p>
    <w:p w14:paraId="7103B9CD" w14:textId="0971CDBD" w:rsidR="00B7698F" w:rsidRPr="00B1105B" w:rsidRDefault="00B7698F" w:rsidP="00B7698F">
      <w:pPr>
        <w:pStyle w:val="ListParagraph"/>
        <w:numPr>
          <w:ilvl w:val="0"/>
          <w:numId w:val="29"/>
        </w:numPr>
        <w:rPr>
          <w:b/>
          <w:sz w:val="20"/>
          <w:szCs w:val="20"/>
        </w:rPr>
      </w:pPr>
      <w:r w:rsidRPr="00B1105B">
        <w:rPr>
          <w:b/>
          <w:sz w:val="20"/>
          <w:szCs w:val="20"/>
        </w:rPr>
        <w:t xml:space="preserve">Option B: The measurement </w:t>
      </w:r>
      <w:r w:rsidR="00BB72A8">
        <w:rPr>
          <w:b/>
          <w:sz w:val="20"/>
          <w:szCs w:val="20"/>
        </w:rPr>
        <w:t xml:space="preserve">accuracy </w:t>
      </w:r>
      <w:r w:rsidRPr="00B1105B">
        <w:rPr>
          <w:b/>
          <w:sz w:val="20"/>
          <w:szCs w:val="20"/>
        </w:rPr>
        <w:t>requirements for UE Rx-Tx time difference is applicable regardless of time separation of SRS transmission</w:t>
      </w:r>
      <w:r w:rsidR="00BB72A8">
        <w:rPr>
          <w:b/>
          <w:sz w:val="20"/>
          <w:szCs w:val="20"/>
        </w:rPr>
        <w:t>s</w:t>
      </w:r>
      <w:r w:rsidRPr="00B1105B">
        <w:rPr>
          <w:b/>
          <w:sz w:val="20"/>
          <w:szCs w:val="20"/>
        </w:rPr>
        <w:t xml:space="preserve"> and PRS reception</w:t>
      </w:r>
      <w:r w:rsidR="00BB72A8">
        <w:rPr>
          <w:b/>
          <w:sz w:val="20"/>
          <w:szCs w:val="20"/>
        </w:rPr>
        <w:t>s</w:t>
      </w:r>
    </w:p>
    <w:p w14:paraId="36FBE5CF" w14:textId="2CB69541" w:rsidR="00B7698F" w:rsidRPr="00B1105B" w:rsidRDefault="00B7698F" w:rsidP="00B7698F">
      <w:pPr>
        <w:pStyle w:val="ListParagraph"/>
        <w:numPr>
          <w:ilvl w:val="1"/>
          <w:numId w:val="29"/>
        </w:numPr>
        <w:rPr>
          <w:b/>
          <w:sz w:val="20"/>
          <w:szCs w:val="20"/>
        </w:rPr>
      </w:pPr>
      <w:r w:rsidRPr="00B1105B">
        <w:rPr>
          <w:b/>
          <w:sz w:val="20"/>
          <w:szCs w:val="20"/>
        </w:rPr>
        <w:t xml:space="preserve">NOTE: </w:t>
      </w:r>
      <w:r w:rsidR="00BB72A8">
        <w:rPr>
          <w:b/>
          <w:sz w:val="20"/>
          <w:szCs w:val="20"/>
        </w:rPr>
        <w:t>A</w:t>
      </w:r>
      <w:r w:rsidRPr="00B1105B">
        <w:rPr>
          <w:b/>
          <w:sz w:val="20"/>
          <w:szCs w:val="20"/>
        </w:rPr>
        <w:t xml:space="preserve">ccuracy requirements shall be a function of </w:t>
      </w:r>
      <w:r w:rsidR="00BB72A8">
        <w:rPr>
          <w:b/>
          <w:sz w:val="20"/>
          <w:szCs w:val="20"/>
        </w:rPr>
        <w:t xml:space="preserve">maximum </w:t>
      </w:r>
      <w:r w:rsidRPr="00B1105B">
        <w:rPr>
          <w:b/>
          <w:sz w:val="20"/>
          <w:szCs w:val="20"/>
        </w:rPr>
        <w:t xml:space="preserve">time separation </w:t>
      </w:r>
      <w:r w:rsidR="00BB72A8">
        <w:rPr>
          <w:b/>
          <w:sz w:val="20"/>
          <w:szCs w:val="20"/>
        </w:rPr>
        <w:t xml:space="preserve">among </w:t>
      </w:r>
      <w:r w:rsidRPr="00B1105B">
        <w:rPr>
          <w:b/>
          <w:sz w:val="20"/>
          <w:szCs w:val="20"/>
        </w:rPr>
        <w:t>SRS transmission</w:t>
      </w:r>
      <w:r w:rsidR="00BB72A8">
        <w:rPr>
          <w:b/>
          <w:sz w:val="20"/>
          <w:szCs w:val="20"/>
        </w:rPr>
        <w:t>s</w:t>
      </w:r>
      <w:r w:rsidRPr="00B1105B">
        <w:rPr>
          <w:b/>
          <w:sz w:val="20"/>
          <w:szCs w:val="20"/>
        </w:rPr>
        <w:t xml:space="preserve"> and </w:t>
      </w:r>
      <w:r w:rsidR="00BB72A8">
        <w:rPr>
          <w:b/>
          <w:sz w:val="20"/>
          <w:szCs w:val="20"/>
        </w:rPr>
        <w:t xml:space="preserve">their corresponding closest </w:t>
      </w:r>
      <w:r w:rsidRPr="00B1105B">
        <w:rPr>
          <w:b/>
          <w:sz w:val="20"/>
          <w:szCs w:val="20"/>
        </w:rPr>
        <w:t>PRS reception</w:t>
      </w:r>
      <w:r w:rsidR="00BB72A8">
        <w:rPr>
          <w:b/>
          <w:sz w:val="20"/>
          <w:szCs w:val="20"/>
        </w:rPr>
        <w:t>s within the Rx-Tx time difference measurement period</w:t>
      </w:r>
      <w:r w:rsidRPr="00B1105B">
        <w:rPr>
          <w:b/>
          <w:sz w:val="20"/>
          <w:szCs w:val="20"/>
        </w:rPr>
        <w:t xml:space="preserve">, i.e., the larger the </w:t>
      </w:r>
      <w:r w:rsidR="00BB72A8">
        <w:rPr>
          <w:b/>
          <w:sz w:val="20"/>
          <w:szCs w:val="20"/>
        </w:rPr>
        <w:t xml:space="preserve">maximum </w:t>
      </w:r>
      <w:r w:rsidRPr="00B1105B">
        <w:rPr>
          <w:b/>
          <w:sz w:val="20"/>
          <w:szCs w:val="20"/>
        </w:rPr>
        <w:t>separation, the looser the accuracy requirements</w:t>
      </w:r>
    </w:p>
    <w:bookmarkEnd w:id="4"/>
    <w:p w14:paraId="7367FE69" w14:textId="77777777" w:rsidR="00B7698F" w:rsidRDefault="00B7698F" w:rsidP="00B7698F">
      <w:pPr>
        <w:rPr>
          <w:lang w:val="en-US"/>
        </w:rPr>
      </w:pPr>
    </w:p>
    <w:p w14:paraId="7A5233ED" w14:textId="3E9EF69F" w:rsidR="00B7698F" w:rsidRPr="00A9611C" w:rsidRDefault="00B7698F" w:rsidP="00B7698F">
      <w:pPr>
        <w:rPr>
          <w:b/>
          <w:bCs/>
          <w:lang w:val="en-US"/>
        </w:rPr>
      </w:pPr>
      <w:r w:rsidRPr="00A9611C">
        <w:rPr>
          <w:b/>
          <w:bCs/>
          <w:lang w:val="en-US"/>
        </w:rPr>
        <w:t>Observation 4. In many typical scenarios, gNB cannot arrive at a reasonable estimation of gNB Rx-Tx time difference with one SRS transmission during the measurement period. Hence, it is odd to impose applicability of UE Rx-Tx time difference requirements with one SRS transmission on the UE side.</w:t>
      </w:r>
    </w:p>
    <w:p w14:paraId="797FC712" w14:textId="77777777" w:rsidR="00B7698F" w:rsidRDefault="00B7698F" w:rsidP="00B7698F">
      <w:pPr>
        <w:rPr>
          <w:b/>
          <w:bCs/>
          <w:lang w:val="en-US"/>
        </w:rPr>
      </w:pPr>
      <w:r w:rsidRPr="008111DB">
        <w:rPr>
          <w:b/>
          <w:bCs/>
          <w:lang w:val="en-US"/>
        </w:rPr>
        <w:t>Observation</w:t>
      </w:r>
      <w:r>
        <w:rPr>
          <w:b/>
          <w:bCs/>
          <w:lang w:val="en-US"/>
        </w:rPr>
        <w:t xml:space="preserve"> 5</w:t>
      </w:r>
      <w:r w:rsidRPr="008111DB">
        <w:rPr>
          <w:b/>
          <w:bCs/>
          <w:lang w:val="en-US"/>
        </w:rPr>
        <w:t>. It is not necessary to make the UE Rx-Tx time difference measurement period a function of T</w:t>
      </w:r>
      <w:r w:rsidRPr="008111DB">
        <w:rPr>
          <w:b/>
          <w:bCs/>
          <w:vertAlign w:val="subscript"/>
          <w:lang w:val="en-US"/>
        </w:rPr>
        <w:t>SRS</w:t>
      </w:r>
      <w:r w:rsidRPr="008111DB">
        <w:rPr>
          <w:b/>
          <w:bCs/>
          <w:lang w:val="en-US"/>
        </w:rPr>
        <w:t>.</w:t>
      </w:r>
    </w:p>
    <w:p w14:paraId="773F8283" w14:textId="77777777" w:rsidR="00B7698F" w:rsidRDefault="00B7698F" w:rsidP="00B7698F">
      <w:pPr>
        <w:rPr>
          <w:b/>
          <w:bCs/>
          <w:lang w:val="en-US"/>
        </w:rPr>
      </w:pPr>
      <w:r>
        <w:rPr>
          <w:b/>
          <w:bCs/>
          <w:lang w:val="en-US"/>
        </w:rPr>
        <w:t>Proposal 4. RAN4 to define requirements for UE Rx-Tx time difference measurement period assuming no SRS dropping due to any reason.</w:t>
      </w:r>
    </w:p>
    <w:p w14:paraId="4C675316" w14:textId="77777777" w:rsidR="00B7698F" w:rsidRPr="005D0487" w:rsidRDefault="00B7698F" w:rsidP="00B7698F">
      <w:pPr>
        <w:rPr>
          <w:b/>
          <w:bCs/>
          <w:lang w:val="en-US"/>
        </w:rPr>
      </w:pPr>
      <w:r w:rsidRPr="005D0487">
        <w:rPr>
          <w:b/>
          <w:bCs/>
          <w:lang w:val="en-US"/>
        </w:rPr>
        <w:t xml:space="preserve">Proposal 5. UE Rx-Tx time difference measurement period is restarted after HO when SRS reconfiguration on the target cell is complete. </w:t>
      </w:r>
    </w:p>
    <w:p w14:paraId="088D71F1" w14:textId="77777777" w:rsidR="00B7698F" w:rsidRPr="00091B0E" w:rsidRDefault="00B7698F" w:rsidP="00B7698F">
      <w:pPr>
        <w:rPr>
          <w:b/>
          <w:bCs/>
          <w:lang w:val="en-US"/>
        </w:rPr>
      </w:pPr>
      <w:r w:rsidRPr="00091B0E">
        <w:rPr>
          <w:b/>
          <w:bCs/>
          <w:lang w:val="en-US"/>
        </w:rPr>
        <w:t>Proposal</w:t>
      </w:r>
      <w:r>
        <w:rPr>
          <w:b/>
          <w:bCs/>
          <w:lang w:val="en-US"/>
        </w:rPr>
        <w:t xml:space="preserve"> 6</w:t>
      </w:r>
      <w:r w:rsidRPr="00091B0E">
        <w:rPr>
          <w:b/>
          <w:bCs/>
          <w:lang w:val="en-US"/>
        </w:rPr>
        <w:t>. UE Rx-Tx time difference measurement requirements are not applicable if TA change is received during the measurement period. UE Rx-Tx time difference measurement requirements are applicable for UE autonomous adjustment of UL timing.</w:t>
      </w:r>
    </w:p>
    <w:p w14:paraId="3BD91954" w14:textId="77777777" w:rsidR="00B7698F" w:rsidRDefault="00B7698F" w:rsidP="00B7698F">
      <w:pPr>
        <w:rPr>
          <w:b/>
          <w:bCs/>
          <w:lang w:eastAsia="en-GB"/>
        </w:rPr>
      </w:pPr>
      <w:r w:rsidRPr="00CF16C1">
        <w:rPr>
          <w:b/>
          <w:bCs/>
          <w:lang w:eastAsia="en-GB"/>
        </w:rPr>
        <w:t>Proposal</w:t>
      </w:r>
      <w:r>
        <w:rPr>
          <w:b/>
          <w:bCs/>
          <w:lang w:eastAsia="en-GB"/>
        </w:rPr>
        <w:t xml:space="preserve"> 7</w:t>
      </w:r>
      <w:r w:rsidRPr="00CF16C1">
        <w:rPr>
          <w:b/>
          <w:bCs/>
          <w:lang w:eastAsia="en-GB"/>
        </w:rPr>
        <w:t xml:space="preserve">. The number of samples, </w:t>
      </w:r>
      <m:oMath>
        <m:r>
          <m:rPr>
            <m:sty m:val="bi"/>
          </m:rPr>
          <w:rPr>
            <w:rFonts w:ascii="Cambria Math" w:hAnsi="Cambria Math"/>
            <w:lang w:eastAsia="en-GB"/>
          </w:rPr>
          <m:t>N</m:t>
        </m:r>
      </m:oMath>
      <w:r w:rsidRPr="00CF16C1">
        <w:rPr>
          <w:b/>
          <w:bCs/>
          <w:lang w:eastAsia="en-GB"/>
        </w:rPr>
        <w:t xml:space="preserve">, used to define the accuracy requirements of Rx-Tx timing difference measurement to be the same as the number of samples used to define the accuracy requirements for RSTD measurements. </w:t>
      </w:r>
    </w:p>
    <w:p w14:paraId="2651E0B0" w14:textId="000B7338" w:rsidR="00B7698F" w:rsidRPr="000A0758" w:rsidRDefault="00B7698F" w:rsidP="00B7698F">
      <w:pPr>
        <w:rPr>
          <w:b/>
          <w:bCs/>
          <w:lang w:val="en-US"/>
        </w:rPr>
      </w:pPr>
      <w:r w:rsidRPr="000A0758">
        <w:rPr>
          <w:b/>
          <w:bCs/>
        </w:rPr>
        <w:t>Observation</w:t>
      </w:r>
      <w:r>
        <w:rPr>
          <w:b/>
          <w:bCs/>
        </w:rPr>
        <w:t xml:space="preserve"> 6</w:t>
      </w:r>
      <w:r w:rsidRPr="000A0758">
        <w:rPr>
          <w:b/>
          <w:bCs/>
        </w:rPr>
        <w:t xml:space="preserve">. </w:t>
      </w:r>
      <w:r w:rsidRPr="000A0758">
        <w:rPr>
          <w:b/>
          <w:bCs/>
          <w:lang w:val="en-US"/>
        </w:rPr>
        <w:t xml:space="preserve">Two factors impact the accuracy requirements of </w:t>
      </w:r>
      <w:r>
        <w:rPr>
          <w:b/>
          <w:bCs/>
          <w:lang w:val="en-US"/>
        </w:rPr>
        <w:t>gNB/</w:t>
      </w:r>
      <w:r w:rsidRPr="000A0758">
        <w:rPr>
          <w:b/>
          <w:bCs/>
          <w:lang w:val="en-US"/>
        </w:rPr>
        <w:t>UE Rx-Tx time difference measurement:</w:t>
      </w:r>
    </w:p>
    <w:p w14:paraId="2E25920F" w14:textId="77777777" w:rsidR="00B7698F" w:rsidRPr="000A0758" w:rsidRDefault="00B7698F" w:rsidP="00B7698F">
      <w:pPr>
        <w:pStyle w:val="ListParagraph"/>
        <w:numPr>
          <w:ilvl w:val="0"/>
          <w:numId w:val="17"/>
        </w:numPr>
        <w:rPr>
          <w:b/>
          <w:bCs/>
          <w:sz w:val="20"/>
          <w:szCs w:val="20"/>
        </w:rPr>
      </w:pPr>
      <w:r w:rsidRPr="00503219">
        <w:rPr>
          <w:b/>
          <w:bCs/>
          <w:sz w:val="20"/>
          <w:szCs w:val="20"/>
          <w:lang w:eastAsia="en-GB"/>
        </w:rPr>
        <w:t>T</w:t>
      </w:r>
      <w:r w:rsidRPr="00503219">
        <w:rPr>
          <w:b/>
          <w:bCs/>
          <w:sz w:val="20"/>
          <w:szCs w:val="20"/>
          <w:vertAlign w:val="subscript"/>
          <w:lang w:eastAsia="en-GB"/>
        </w:rPr>
        <w:t>UE-RX</w:t>
      </w:r>
      <w:r w:rsidRPr="00503219">
        <w:rPr>
          <w:sz w:val="20"/>
          <w:szCs w:val="20"/>
          <w:vertAlign w:val="subscript"/>
          <w:lang w:eastAsia="en-GB"/>
        </w:rPr>
        <w:t xml:space="preserve"> </w:t>
      </w:r>
      <w:r w:rsidRPr="000A0758">
        <w:rPr>
          <w:b/>
          <w:bCs/>
          <w:sz w:val="20"/>
          <w:szCs w:val="20"/>
        </w:rPr>
        <w:t>estimation error from DL PRS</w:t>
      </w:r>
      <w:r>
        <w:rPr>
          <w:b/>
          <w:bCs/>
          <w:sz w:val="20"/>
          <w:szCs w:val="20"/>
        </w:rPr>
        <w:t xml:space="preserve"> (for UE) or UL SRS (for gNB)</w:t>
      </w:r>
      <w:r w:rsidRPr="000A0758">
        <w:rPr>
          <w:b/>
          <w:bCs/>
          <w:sz w:val="20"/>
          <w:szCs w:val="20"/>
        </w:rPr>
        <w:t xml:space="preserve"> resources</w:t>
      </w:r>
    </w:p>
    <w:p w14:paraId="72612648" w14:textId="77777777" w:rsidR="00B7698F" w:rsidRPr="000A0758" w:rsidRDefault="00B7698F" w:rsidP="00B7698F">
      <w:pPr>
        <w:pStyle w:val="ListParagraph"/>
        <w:numPr>
          <w:ilvl w:val="0"/>
          <w:numId w:val="17"/>
        </w:numPr>
        <w:rPr>
          <w:b/>
          <w:bCs/>
          <w:sz w:val="20"/>
          <w:szCs w:val="20"/>
        </w:rPr>
      </w:pPr>
      <w:r w:rsidRPr="000A0758">
        <w:rPr>
          <w:b/>
          <w:bCs/>
          <w:sz w:val="20"/>
          <w:szCs w:val="20"/>
        </w:rPr>
        <w:t>Rx-Tx calibration error</w:t>
      </w:r>
    </w:p>
    <w:p w14:paraId="14069A62" w14:textId="77777777" w:rsidR="00B7698F" w:rsidRDefault="00B7698F" w:rsidP="00B7698F">
      <w:pPr>
        <w:rPr>
          <w:lang w:val="en-US"/>
        </w:rPr>
      </w:pPr>
    </w:p>
    <w:p w14:paraId="079503E7" w14:textId="5AA5CCAC" w:rsidR="00B7698F" w:rsidRDefault="00B7698F" w:rsidP="00B7698F">
      <w:pPr>
        <w:rPr>
          <w:b/>
          <w:bCs/>
          <w:lang w:val="en-US"/>
        </w:rPr>
      </w:pPr>
      <w:r w:rsidRPr="009B7067">
        <w:rPr>
          <w:b/>
          <w:bCs/>
          <w:lang w:val="en-US"/>
        </w:rPr>
        <w:t>Observation</w:t>
      </w:r>
      <w:r>
        <w:rPr>
          <w:b/>
          <w:bCs/>
          <w:lang w:val="en-US"/>
        </w:rPr>
        <w:t xml:space="preserve"> 7</w:t>
      </w:r>
      <w:r w:rsidRPr="009B7067">
        <w:rPr>
          <w:b/>
          <w:bCs/>
          <w:lang w:val="en-US"/>
        </w:rPr>
        <w:t>. The performance and accuracy of multi-RTT depends on Rx-Tx calibration error on both UE and gNB. Hence, the error budget should be viewed holistically from both sides. Allocating a small error budget on one side (UE or gNB) while permitting a disproportionately larger error budget on the other side is nonsensical.</w:t>
      </w:r>
    </w:p>
    <w:p w14:paraId="1F5AA05A" w14:textId="25A9C3AB" w:rsidR="00627A3A" w:rsidRPr="00B7698F" w:rsidRDefault="00B7698F" w:rsidP="000E4C33">
      <w:pPr>
        <w:rPr>
          <w:b/>
          <w:bCs/>
          <w:lang w:val="en-US"/>
        </w:rPr>
      </w:pPr>
      <w:r w:rsidRPr="00953606">
        <w:rPr>
          <w:b/>
          <w:bCs/>
          <w:lang w:val="en-US"/>
        </w:rPr>
        <w:t>Proposal</w:t>
      </w:r>
      <w:r>
        <w:rPr>
          <w:b/>
          <w:bCs/>
          <w:lang w:val="en-US"/>
        </w:rPr>
        <w:t xml:space="preserve"> 8</w:t>
      </w:r>
      <w:r w:rsidRPr="00953606">
        <w:rPr>
          <w:b/>
          <w:bCs/>
          <w:lang w:val="en-US"/>
        </w:rPr>
        <w:t xml:space="preserve">. Only one set of accuracy requirements applicable to both serving and neighbor cells to be defined. </w:t>
      </w:r>
    </w:p>
    <w:p w14:paraId="0C633F9D" w14:textId="2FAFCE22" w:rsidR="00797CE5" w:rsidRDefault="00797CE5" w:rsidP="006050F7">
      <w:pPr>
        <w:pStyle w:val="Heading1"/>
        <w:numPr>
          <w:ilvl w:val="0"/>
          <w:numId w:val="0"/>
        </w:numPr>
        <w:rPr>
          <w:lang w:val="en-US"/>
        </w:rPr>
      </w:pPr>
      <w:r>
        <w:rPr>
          <w:lang w:val="en-US"/>
        </w:rPr>
        <w:t>References</w:t>
      </w:r>
    </w:p>
    <w:p w14:paraId="0683BDEE" w14:textId="056B1671" w:rsidR="0045046B" w:rsidRDefault="0045046B" w:rsidP="0045046B">
      <w:pPr>
        <w:rPr>
          <w:lang w:val="en-US"/>
        </w:rPr>
      </w:pPr>
      <w:r>
        <w:rPr>
          <w:lang w:val="en-US"/>
        </w:rPr>
        <w:t>[1]</w:t>
      </w:r>
      <w:r w:rsidR="0065354F">
        <w:rPr>
          <w:lang w:val="en-US"/>
        </w:rPr>
        <w:t xml:space="preserve"> R4-</w:t>
      </w:r>
      <w:r w:rsidR="001C7DC1">
        <w:rPr>
          <w:lang w:val="en-US"/>
        </w:rPr>
        <w:t>200</w:t>
      </w:r>
      <w:r w:rsidR="00043CFD">
        <w:rPr>
          <w:lang w:val="en-US"/>
        </w:rPr>
        <w:t>8664</w:t>
      </w:r>
    </w:p>
    <w:p w14:paraId="7C2EEBFD" w14:textId="07DC8A7B" w:rsidR="00CA2DE4" w:rsidRDefault="00CA2DE4" w:rsidP="0045046B">
      <w:pPr>
        <w:rPr>
          <w:lang w:val="en-US"/>
        </w:rPr>
      </w:pPr>
      <w:r>
        <w:rPr>
          <w:lang w:val="en-US"/>
        </w:rPr>
        <w:t>[2] R4-200</w:t>
      </w:r>
      <w:r w:rsidR="00624285">
        <w:rPr>
          <w:lang w:val="en-US"/>
        </w:rPr>
        <w:t>9874</w:t>
      </w:r>
    </w:p>
    <w:p w14:paraId="1CC6A73B" w14:textId="432695A2" w:rsidR="00D36708" w:rsidRDefault="00D36708" w:rsidP="0045046B">
      <w:pPr>
        <w:rPr>
          <w:lang w:val="en-US"/>
        </w:rPr>
      </w:pPr>
      <w:r>
        <w:rPr>
          <w:lang w:val="en-US"/>
        </w:rPr>
        <w:t>[3] R4-20061</w:t>
      </w:r>
      <w:r w:rsidR="001C4252">
        <w:rPr>
          <w:lang w:val="en-US"/>
        </w:rPr>
        <w:t>72</w:t>
      </w:r>
    </w:p>
    <w:p w14:paraId="7B142946" w14:textId="6F497208" w:rsidR="00BF31AD" w:rsidRDefault="00BF31AD" w:rsidP="00797CE5">
      <w:pPr>
        <w:rPr>
          <w:lang w:val="en-US"/>
        </w:rPr>
      </w:pPr>
    </w:p>
    <w:sectPr w:rsidR="00BF31AD"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3170D" w14:textId="77777777" w:rsidR="003F5078" w:rsidRDefault="003F5078">
      <w:r>
        <w:separator/>
      </w:r>
    </w:p>
  </w:endnote>
  <w:endnote w:type="continuationSeparator" w:id="0">
    <w:p w14:paraId="35734F94" w14:textId="77777777" w:rsidR="003F5078" w:rsidRDefault="003F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CDA2" w14:textId="77777777" w:rsidR="00FF6B25" w:rsidRDefault="00FF6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F634F" w14:textId="77777777" w:rsidR="003F5078" w:rsidRDefault="003F5078">
      <w:r>
        <w:separator/>
      </w:r>
    </w:p>
  </w:footnote>
  <w:footnote w:type="continuationSeparator" w:id="0">
    <w:p w14:paraId="69B1FE50" w14:textId="77777777" w:rsidR="003F5078" w:rsidRDefault="003F5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19DCD" w14:textId="77777777" w:rsidR="00FF6B25" w:rsidRDefault="00FF6B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BB81E" w14:textId="77777777" w:rsidR="00FF6B25" w:rsidRDefault="00FF6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79A89" w14:textId="77777777" w:rsidR="00FF6B25" w:rsidRDefault="00FF6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2DC4201"/>
    <w:multiLevelType w:val="hybridMultilevel"/>
    <w:tmpl w:val="A4DE5072"/>
    <w:lvl w:ilvl="0" w:tplc="B9127312">
      <w:start w:val="1"/>
      <w:numFmt w:val="bullet"/>
      <w:lvlText w:val="•"/>
      <w:lvlJc w:val="left"/>
      <w:pPr>
        <w:tabs>
          <w:tab w:val="num" w:pos="720"/>
        </w:tabs>
        <w:ind w:left="720" w:hanging="360"/>
      </w:pPr>
      <w:rPr>
        <w:rFonts w:ascii="Arial" w:hAnsi="Arial" w:hint="default"/>
      </w:rPr>
    </w:lvl>
    <w:lvl w:ilvl="1" w:tplc="FE0CAF46">
      <w:numFmt w:val="bullet"/>
      <w:lvlText w:val="•"/>
      <w:lvlJc w:val="left"/>
      <w:pPr>
        <w:tabs>
          <w:tab w:val="num" w:pos="1440"/>
        </w:tabs>
        <w:ind w:left="1440" w:hanging="360"/>
      </w:pPr>
      <w:rPr>
        <w:rFonts w:ascii="Arial" w:hAnsi="Arial" w:hint="default"/>
      </w:rPr>
    </w:lvl>
    <w:lvl w:ilvl="2" w:tplc="99D85AB6">
      <w:numFmt w:val="bullet"/>
      <w:lvlText w:val="•"/>
      <w:lvlJc w:val="left"/>
      <w:pPr>
        <w:tabs>
          <w:tab w:val="num" w:pos="2160"/>
        </w:tabs>
        <w:ind w:left="2160" w:hanging="360"/>
      </w:pPr>
      <w:rPr>
        <w:rFonts w:ascii="Arial" w:hAnsi="Arial" w:hint="default"/>
      </w:rPr>
    </w:lvl>
    <w:lvl w:ilvl="3" w:tplc="7A6CDEB0" w:tentative="1">
      <w:start w:val="1"/>
      <w:numFmt w:val="bullet"/>
      <w:lvlText w:val="•"/>
      <w:lvlJc w:val="left"/>
      <w:pPr>
        <w:tabs>
          <w:tab w:val="num" w:pos="2880"/>
        </w:tabs>
        <w:ind w:left="2880" w:hanging="360"/>
      </w:pPr>
      <w:rPr>
        <w:rFonts w:ascii="Arial" w:hAnsi="Arial" w:hint="default"/>
      </w:rPr>
    </w:lvl>
    <w:lvl w:ilvl="4" w:tplc="B84233AC" w:tentative="1">
      <w:start w:val="1"/>
      <w:numFmt w:val="bullet"/>
      <w:lvlText w:val="•"/>
      <w:lvlJc w:val="left"/>
      <w:pPr>
        <w:tabs>
          <w:tab w:val="num" w:pos="3600"/>
        </w:tabs>
        <w:ind w:left="3600" w:hanging="360"/>
      </w:pPr>
      <w:rPr>
        <w:rFonts w:ascii="Arial" w:hAnsi="Arial" w:hint="default"/>
      </w:rPr>
    </w:lvl>
    <w:lvl w:ilvl="5" w:tplc="C1E044BE" w:tentative="1">
      <w:start w:val="1"/>
      <w:numFmt w:val="bullet"/>
      <w:lvlText w:val="•"/>
      <w:lvlJc w:val="left"/>
      <w:pPr>
        <w:tabs>
          <w:tab w:val="num" w:pos="4320"/>
        </w:tabs>
        <w:ind w:left="4320" w:hanging="360"/>
      </w:pPr>
      <w:rPr>
        <w:rFonts w:ascii="Arial" w:hAnsi="Arial" w:hint="default"/>
      </w:rPr>
    </w:lvl>
    <w:lvl w:ilvl="6" w:tplc="C012F9C6" w:tentative="1">
      <w:start w:val="1"/>
      <w:numFmt w:val="bullet"/>
      <w:lvlText w:val="•"/>
      <w:lvlJc w:val="left"/>
      <w:pPr>
        <w:tabs>
          <w:tab w:val="num" w:pos="5040"/>
        </w:tabs>
        <w:ind w:left="5040" w:hanging="360"/>
      </w:pPr>
      <w:rPr>
        <w:rFonts w:ascii="Arial" w:hAnsi="Arial" w:hint="default"/>
      </w:rPr>
    </w:lvl>
    <w:lvl w:ilvl="7" w:tplc="C9D22BC6" w:tentative="1">
      <w:start w:val="1"/>
      <w:numFmt w:val="bullet"/>
      <w:lvlText w:val="•"/>
      <w:lvlJc w:val="left"/>
      <w:pPr>
        <w:tabs>
          <w:tab w:val="num" w:pos="5760"/>
        </w:tabs>
        <w:ind w:left="5760" w:hanging="360"/>
      </w:pPr>
      <w:rPr>
        <w:rFonts w:ascii="Arial" w:hAnsi="Arial" w:hint="default"/>
      </w:rPr>
    </w:lvl>
    <w:lvl w:ilvl="8" w:tplc="A5F08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C66"/>
    <w:multiLevelType w:val="hybridMultilevel"/>
    <w:tmpl w:val="4744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B1CAB"/>
    <w:multiLevelType w:val="hybridMultilevel"/>
    <w:tmpl w:val="010EC26E"/>
    <w:lvl w:ilvl="0" w:tplc="7CC07268">
      <w:start w:val="1"/>
      <w:numFmt w:val="bullet"/>
      <w:lvlText w:val="•"/>
      <w:lvlJc w:val="left"/>
      <w:pPr>
        <w:tabs>
          <w:tab w:val="num" w:pos="720"/>
        </w:tabs>
        <w:ind w:left="720" w:hanging="360"/>
      </w:pPr>
      <w:rPr>
        <w:rFonts w:ascii="Arial" w:hAnsi="Arial" w:hint="default"/>
      </w:rPr>
    </w:lvl>
    <w:lvl w:ilvl="1" w:tplc="9A120B46">
      <w:numFmt w:val="bullet"/>
      <w:lvlText w:val="•"/>
      <w:lvlJc w:val="left"/>
      <w:pPr>
        <w:tabs>
          <w:tab w:val="num" w:pos="1440"/>
        </w:tabs>
        <w:ind w:left="1440" w:hanging="360"/>
      </w:pPr>
      <w:rPr>
        <w:rFonts w:ascii="Arial" w:hAnsi="Arial" w:hint="default"/>
      </w:rPr>
    </w:lvl>
    <w:lvl w:ilvl="2" w:tplc="E0EE96BA" w:tentative="1">
      <w:start w:val="1"/>
      <w:numFmt w:val="bullet"/>
      <w:lvlText w:val="•"/>
      <w:lvlJc w:val="left"/>
      <w:pPr>
        <w:tabs>
          <w:tab w:val="num" w:pos="2160"/>
        </w:tabs>
        <w:ind w:left="2160" w:hanging="360"/>
      </w:pPr>
      <w:rPr>
        <w:rFonts w:ascii="Arial" w:hAnsi="Arial" w:hint="default"/>
      </w:rPr>
    </w:lvl>
    <w:lvl w:ilvl="3" w:tplc="DF7C4392" w:tentative="1">
      <w:start w:val="1"/>
      <w:numFmt w:val="bullet"/>
      <w:lvlText w:val="•"/>
      <w:lvlJc w:val="left"/>
      <w:pPr>
        <w:tabs>
          <w:tab w:val="num" w:pos="2880"/>
        </w:tabs>
        <w:ind w:left="2880" w:hanging="360"/>
      </w:pPr>
      <w:rPr>
        <w:rFonts w:ascii="Arial" w:hAnsi="Arial" w:hint="default"/>
      </w:rPr>
    </w:lvl>
    <w:lvl w:ilvl="4" w:tplc="8DCEB2EE" w:tentative="1">
      <w:start w:val="1"/>
      <w:numFmt w:val="bullet"/>
      <w:lvlText w:val="•"/>
      <w:lvlJc w:val="left"/>
      <w:pPr>
        <w:tabs>
          <w:tab w:val="num" w:pos="3600"/>
        </w:tabs>
        <w:ind w:left="3600" w:hanging="360"/>
      </w:pPr>
      <w:rPr>
        <w:rFonts w:ascii="Arial" w:hAnsi="Arial" w:hint="default"/>
      </w:rPr>
    </w:lvl>
    <w:lvl w:ilvl="5" w:tplc="CE36ABDA" w:tentative="1">
      <w:start w:val="1"/>
      <w:numFmt w:val="bullet"/>
      <w:lvlText w:val="•"/>
      <w:lvlJc w:val="left"/>
      <w:pPr>
        <w:tabs>
          <w:tab w:val="num" w:pos="4320"/>
        </w:tabs>
        <w:ind w:left="4320" w:hanging="360"/>
      </w:pPr>
      <w:rPr>
        <w:rFonts w:ascii="Arial" w:hAnsi="Arial" w:hint="default"/>
      </w:rPr>
    </w:lvl>
    <w:lvl w:ilvl="6" w:tplc="45E021AE" w:tentative="1">
      <w:start w:val="1"/>
      <w:numFmt w:val="bullet"/>
      <w:lvlText w:val="•"/>
      <w:lvlJc w:val="left"/>
      <w:pPr>
        <w:tabs>
          <w:tab w:val="num" w:pos="5040"/>
        </w:tabs>
        <w:ind w:left="5040" w:hanging="360"/>
      </w:pPr>
      <w:rPr>
        <w:rFonts w:ascii="Arial" w:hAnsi="Arial" w:hint="default"/>
      </w:rPr>
    </w:lvl>
    <w:lvl w:ilvl="7" w:tplc="7FFC5EF4" w:tentative="1">
      <w:start w:val="1"/>
      <w:numFmt w:val="bullet"/>
      <w:lvlText w:val="•"/>
      <w:lvlJc w:val="left"/>
      <w:pPr>
        <w:tabs>
          <w:tab w:val="num" w:pos="5760"/>
        </w:tabs>
        <w:ind w:left="5760" w:hanging="360"/>
      </w:pPr>
      <w:rPr>
        <w:rFonts w:ascii="Arial" w:hAnsi="Arial" w:hint="default"/>
      </w:rPr>
    </w:lvl>
    <w:lvl w:ilvl="8" w:tplc="3F1EED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3523BC"/>
    <w:multiLevelType w:val="hybridMultilevel"/>
    <w:tmpl w:val="1E2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4BAA"/>
    <w:multiLevelType w:val="hybridMultilevel"/>
    <w:tmpl w:val="DA129F18"/>
    <w:lvl w:ilvl="0" w:tplc="073ABAD8">
      <w:start w:val="1"/>
      <w:numFmt w:val="bullet"/>
      <w:lvlText w:val="•"/>
      <w:lvlJc w:val="left"/>
      <w:pPr>
        <w:tabs>
          <w:tab w:val="num" w:pos="720"/>
        </w:tabs>
        <w:ind w:left="720" w:hanging="360"/>
      </w:pPr>
      <w:rPr>
        <w:rFonts w:ascii="Arial" w:hAnsi="Arial" w:hint="default"/>
      </w:rPr>
    </w:lvl>
    <w:lvl w:ilvl="1" w:tplc="AA8C4452">
      <w:numFmt w:val="bullet"/>
      <w:lvlText w:val="•"/>
      <w:lvlJc w:val="left"/>
      <w:pPr>
        <w:tabs>
          <w:tab w:val="num" w:pos="1440"/>
        </w:tabs>
        <w:ind w:left="1440" w:hanging="360"/>
      </w:pPr>
      <w:rPr>
        <w:rFonts w:ascii="Arial" w:hAnsi="Arial" w:hint="default"/>
      </w:rPr>
    </w:lvl>
    <w:lvl w:ilvl="2" w:tplc="4A6C916C">
      <w:numFmt w:val="bullet"/>
      <w:lvlText w:val="•"/>
      <w:lvlJc w:val="left"/>
      <w:pPr>
        <w:tabs>
          <w:tab w:val="num" w:pos="2160"/>
        </w:tabs>
        <w:ind w:left="2160" w:hanging="360"/>
      </w:pPr>
      <w:rPr>
        <w:rFonts w:ascii="Arial" w:hAnsi="Arial" w:hint="default"/>
      </w:rPr>
    </w:lvl>
    <w:lvl w:ilvl="3" w:tplc="462C8596" w:tentative="1">
      <w:start w:val="1"/>
      <w:numFmt w:val="bullet"/>
      <w:lvlText w:val="•"/>
      <w:lvlJc w:val="left"/>
      <w:pPr>
        <w:tabs>
          <w:tab w:val="num" w:pos="2880"/>
        </w:tabs>
        <w:ind w:left="2880" w:hanging="360"/>
      </w:pPr>
      <w:rPr>
        <w:rFonts w:ascii="Arial" w:hAnsi="Arial" w:hint="default"/>
      </w:rPr>
    </w:lvl>
    <w:lvl w:ilvl="4" w:tplc="5FFCD8BE" w:tentative="1">
      <w:start w:val="1"/>
      <w:numFmt w:val="bullet"/>
      <w:lvlText w:val="•"/>
      <w:lvlJc w:val="left"/>
      <w:pPr>
        <w:tabs>
          <w:tab w:val="num" w:pos="3600"/>
        </w:tabs>
        <w:ind w:left="3600" w:hanging="360"/>
      </w:pPr>
      <w:rPr>
        <w:rFonts w:ascii="Arial" w:hAnsi="Arial" w:hint="default"/>
      </w:rPr>
    </w:lvl>
    <w:lvl w:ilvl="5" w:tplc="78E0C844" w:tentative="1">
      <w:start w:val="1"/>
      <w:numFmt w:val="bullet"/>
      <w:lvlText w:val="•"/>
      <w:lvlJc w:val="left"/>
      <w:pPr>
        <w:tabs>
          <w:tab w:val="num" w:pos="4320"/>
        </w:tabs>
        <w:ind w:left="4320" w:hanging="360"/>
      </w:pPr>
      <w:rPr>
        <w:rFonts w:ascii="Arial" w:hAnsi="Arial" w:hint="default"/>
      </w:rPr>
    </w:lvl>
    <w:lvl w:ilvl="6" w:tplc="6A2805DA" w:tentative="1">
      <w:start w:val="1"/>
      <w:numFmt w:val="bullet"/>
      <w:lvlText w:val="•"/>
      <w:lvlJc w:val="left"/>
      <w:pPr>
        <w:tabs>
          <w:tab w:val="num" w:pos="5040"/>
        </w:tabs>
        <w:ind w:left="5040" w:hanging="360"/>
      </w:pPr>
      <w:rPr>
        <w:rFonts w:ascii="Arial" w:hAnsi="Arial" w:hint="default"/>
      </w:rPr>
    </w:lvl>
    <w:lvl w:ilvl="7" w:tplc="E3966D84" w:tentative="1">
      <w:start w:val="1"/>
      <w:numFmt w:val="bullet"/>
      <w:lvlText w:val="•"/>
      <w:lvlJc w:val="left"/>
      <w:pPr>
        <w:tabs>
          <w:tab w:val="num" w:pos="5760"/>
        </w:tabs>
        <w:ind w:left="5760" w:hanging="360"/>
      </w:pPr>
      <w:rPr>
        <w:rFonts w:ascii="Arial" w:hAnsi="Arial" w:hint="default"/>
      </w:rPr>
    </w:lvl>
    <w:lvl w:ilvl="8" w:tplc="FF6A2A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D0B0D"/>
    <w:multiLevelType w:val="hybridMultilevel"/>
    <w:tmpl w:val="2FE26AB0"/>
    <w:lvl w:ilvl="0" w:tplc="4600D85E">
      <w:start w:val="1"/>
      <w:numFmt w:val="bullet"/>
      <w:lvlText w:val="•"/>
      <w:lvlJc w:val="left"/>
      <w:pPr>
        <w:tabs>
          <w:tab w:val="num" w:pos="360"/>
        </w:tabs>
        <w:ind w:left="360" w:hanging="360"/>
      </w:pPr>
      <w:rPr>
        <w:rFonts w:ascii="Arial" w:hAnsi="Arial" w:hint="default"/>
      </w:rPr>
    </w:lvl>
    <w:lvl w:ilvl="1" w:tplc="26920AEA">
      <w:numFmt w:val="bullet"/>
      <w:lvlText w:val="–"/>
      <w:lvlJc w:val="left"/>
      <w:pPr>
        <w:tabs>
          <w:tab w:val="num" w:pos="1080"/>
        </w:tabs>
        <w:ind w:left="1080" w:hanging="360"/>
      </w:pPr>
      <w:rPr>
        <w:rFonts w:ascii="Arial" w:hAnsi="Arial" w:hint="default"/>
      </w:rPr>
    </w:lvl>
    <w:lvl w:ilvl="2" w:tplc="21B211D4" w:tentative="1">
      <w:start w:val="1"/>
      <w:numFmt w:val="bullet"/>
      <w:lvlText w:val="•"/>
      <w:lvlJc w:val="left"/>
      <w:pPr>
        <w:tabs>
          <w:tab w:val="num" w:pos="1800"/>
        </w:tabs>
        <w:ind w:left="1800" w:hanging="360"/>
      </w:pPr>
      <w:rPr>
        <w:rFonts w:ascii="Arial" w:hAnsi="Arial" w:hint="default"/>
      </w:rPr>
    </w:lvl>
    <w:lvl w:ilvl="3" w:tplc="39942F46" w:tentative="1">
      <w:start w:val="1"/>
      <w:numFmt w:val="bullet"/>
      <w:lvlText w:val="•"/>
      <w:lvlJc w:val="left"/>
      <w:pPr>
        <w:tabs>
          <w:tab w:val="num" w:pos="2520"/>
        </w:tabs>
        <w:ind w:left="2520" w:hanging="360"/>
      </w:pPr>
      <w:rPr>
        <w:rFonts w:ascii="Arial" w:hAnsi="Arial" w:hint="default"/>
      </w:rPr>
    </w:lvl>
    <w:lvl w:ilvl="4" w:tplc="E40093D4" w:tentative="1">
      <w:start w:val="1"/>
      <w:numFmt w:val="bullet"/>
      <w:lvlText w:val="•"/>
      <w:lvlJc w:val="left"/>
      <w:pPr>
        <w:tabs>
          <w:tab w:val="num" w:pos="3240"/>
        </w:tabs>
        <w:ind w:left="3240" w:hanging="360"/>
      </w:pPr>
      <w:rPr>
        <w:rFonts w:ascii="Arial" w:hAnsi="Arial" w:hint="default"/>
      </w:rPr>
    </w:lvl>
    <w:lvl w:ilvl="5" w:tplc="96B042C4" w:tentative="1">
      <w:start w:val="1"/>
      <w:numFmt w:val="bullet"/>
      <w:lvlText w:val="•"/>
      <w:lvlJc w:val="left"/>
      <w:pPr>
        <w:tabs>
          <w:tab w:val="num" w:pos="3960"/>
        </w:tabs>
        <w:ind w:left="3960" w:hanging="360"/>
      </w:pPr>
      <w:rPr>
        <w:rFonts w:ascii="Arial" w:hAnsi="Arial" w:hint="default"/>
      </w:rPr>
    </w:lvl>
    <w:lvl w:ilvl="6" w:tplc="BC8013CE" w:tentative="1">
      <w:start w:val="1"/>
      <w:numFmt w:val="bullet"/>
      <w:lvlText w:val="•"/>
      <w:lvlJc w:val="left"/>
      <w:pPr>
        <w:tabs>
          <w:tab w:val="num" w:pos="4680"/>
        </w:tabs>
        <w:ind w:left="4680" w:hanging="360"/>
      </w:pPr>
      <w:rPr>
        <w:rFonts w:ascii="Arial" w:hAnsi="Arial" w:hint="default"/>
      </w:rPr>
    </w:lvl>
    <w:lvl w:ilvl="7" w:tplc="222A103E" w:tentative="1">
      <w:start w:val="1"/>
      <w:numFmt w:val="bullet"/>
      <w:lvlText w:val="•"/>
      <w:lvlJc w:val="left"/>
      <w:pPr>
        <w:tabs>
          <w:tab w:val="num" w:pos="5400"/>
        </w:tabs>
        <w:ind w:left="5400" w:hanging="360"/>
      </w:pPr>
      <w:rPr>
        <w:rFonts w:ascii="Arial" w:hAnsi="Arial" w:hint="default"/>
      </w:rPr>
    </w:lvl>
    <w:lvl w:ilvl="8" w:tplc="93FCBD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1619A3"/>
    <w:multiLevelType w:val="hybridMultilevel"/>
    <w:tmpl w:val="8830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83448"/>
    <w:multiLevelType w:val="hybridMultilevel"/>
    <w:tmpl w:val="C90A0538"/>
    <w:lvl w:ilvl="0" w:tplc="A7200D14">
      <w:start w:val="1"/>
      <w:numFmt w:val="bullet"/>
      <w:lvlText w:val="•"/>
      <w:lvlJc w:val="left"/>
      <w:pPr>
        <w:tabs>
          <w:tab w:val="num" w:pos="720"/>
        </w:tabs>
        <w:ind w:left="720" w:hanging="360"/>
      </w:pPr>
      <w:rPr>
        <w:rFonts w:ascii="Arial" w:hAnsi="Arial" w:hint="default"/>
      </w:rPr>
    </w:lvl>
    <w:lvl w:ilvl="1" w:tplc="06B25074">
      <w:numFmt w:val="bullet"/>
      <w:lvlText w:val="•"/>
      <w:lvlJc w:val="left"/>
      <w:pPr>
        <w:tabs>
          <w:tab w:val="num" w:pos="1440"/>
        </w:tabs>
        <w:ind w:left="1440" w:hanging="360"/>
      </w:pPr>
      <w:rPr>
        <w:rFonts w:ascii="Arial" w:hAnsi="Arial" w:hint="default"/>
      </w:rPr>
    </w:lvl>
    <w:lvl w:ilvl="2" w:tplc="D2DE3EBC" w:tentative="1">
      <w:start w:val="1"/>
      <w:numFmt w:val="bullet"/>
      <w:lvlText w:val="•"/>
      <w:lvlJc w:val="left"/>
      <w:pPr>
        <w:tabs>
          <w:tab w:val="num" w:pos="2160"/>
        </w:tabs>
        <w:ind w:left="2160" w:hanging="360"/>
      </w:pPr>
      <w:rPr>
        <w:rFonts w:ascii="Arial" w:hAnsi="Arial" w:hint="default"/>
      </w:rPr>
    </w:lvl>
    <w:lvl w:ilvl="3" w:tplc="1F1E2D02" w:tentative="1">
      <w:start w:val="1"/>
      <w:numFmt w:val="bullet"/>
      <w:lvlText w:val="•"/>
      <w:lvlJc w:val="left"/>
      <w:pPr>
        <w:tabs>
          <w:tab w:val="num" w:pos="2880"/>
        </w:tabs>
        <w:ind w:left="2880" w:hanging="360"/>
      </w:pPr>
      <w:rPr>
        <w:rFonts w:ascii="Arial" w:hAnsi="Arial" w:hint="default"/>
      </w:rPr>
    </w:lvl>
    <w:lvl w:ilvl="4" w:tplc="35E85E8A" w:tentative="1">
      <w:start w:val="1"/>
      <w:numFmt w:val="bullet"/>
      <w:lvlText w:val="•"/>
      <w:lvlJc w:val="left"/>
      <w:pPr>
        <w:tabs>
          <w:tab w:val="num" w:pos="3600"/>
        </w:tabs>
        <w:ind w:left="3600" w:hanging="360"/>
      </w:pPr>
      <w:rPr>
        <w:rFonts w:ascii="Arial" w:hAnsi="Arial" w:hint="default"/>
      </w:rPr>
    </w:lvl>
    <w:lvl w:ilvl="5" w:tplc="2E5E1AE2" w:tentative="1">
      <w:start w:val="1"/>
      <w:numFmt w:val="bullet"/>
      <w:lvlText w:val="•"/>
      <w:lvlJc w:val="left"/>
      <w:pPr>
        <w:tabs>
          <w:tab w:val="num" w:pos="4320"/>
        </w:tabs>
        <w:ind w:left="4320" w:hanging="360"/>
      </w:pPr>
      <w:rPr>
        <w:rFonts w:ascii="Arial" w:hAnsi="Arial" w:hint="default"/>
      </w:rPr>
    </w:lvl>
    <w:lvl w:ilvl="6" w:tplc="A922013A" w:tentative="1">
      <w:start w:val="1"/>
      <w:numFmt w:val="bullet"/>
      <w:lvlText w:val="•"/>
      <w:lvlJc w:val="left"/>
      <w:pPr>
        <w:tabs>
          <w:tab w:val="num" w:pos="5040"/>
        </w:tabs>
        <w:ind w:left="5040" w:hanging="360"/>
      </w:pPr>
      <w:rPr>
        <w:rFonts w:ascii="Arial" w:hAnsi="Arial" w:hint="default"/>
      </w:rPr>
    </w:lvl>
    <w:lvl w:ilvl="7" w:tplc="828EFEBA" w:tentative="1">
      <w:start w:val="1"/>
      <w:numFmt w:val="bullet"/>
      <w:lvlText w:val="•"/>
      <w:lvlJc w:val="left"/>
      <w:pPr>
        <w:tabs>
          <w:tab w:val="num" w:pos="5760"/>
        </w:tabs>
        <w:ind w:left="5760" w:hanging="360"/>
      </w:pPr>
      <w:rPr>
        <w:rFonts w:ascii="Arial" w:hAnsi="Arial" w:hint="default"/>
      </w:rPr>
    </w:lvl>
    <w:lvl w:ilvl="8" w:tplc="D3E466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EA0006"/>
    <w:multiLevelType w:val="hybridMultilevel"/>
    <w:tmpl w:val="1B307F26"/>
    <w:lvl w:ilvl="0" w:tplc="4A8659A0">
      <w:start w:val="1"/>
      <w:numFmt w:val="bullet"/>
      <w:lvlText w:val="–"/>
      <w:lvlJc w:val="left"/>
      <w:pPr>
        <w:tabs>
          <w:tab w:val="num" w:pos="720"/>
        </w:tabs>
        <w:ind w:left="720" w:hanging="360"/>
      </w:pPr>
      <w:rPr>
        <w:rFonts w:ascii="Arial" w:hAnsi="Arial" w:hint="default"/>
      </w:rPr>
    </w:lvl>
    <w:lvl w:ilvl="1" w:tplc="DED06848">
      <w:start w:val="1"/>
      <w:numFmt w:val="bullet"/>
      <w:lvlText w:val="–"/>
      <w:lvlJc w:val="left"/>
      <w:pPr>
        <w:tabs>
          <w:tab w:val="num" w:pos="1440"/>
        </w:tabs>
        <w:ind w:left="1440" w:hanging="360"/>
      </w:pPr>
      <w:rPr>
        <w:rFonts w:ascii="Arial" w:hAnsi="Arial" w:hint="default"/>
      </w:rPr>
    </w:lvl>
    <w:lvl w:ilvl="2" w:tplc="EADC8290" w:tentative="1">
      <w:start w:val="1"/>
      <w:numFmt w:val="bullet"/>
      <w:lvlText w:val="–"/>
      <w:lvlJc w:val="left"/>
      <w:pPr>
        <w:tabs>
          <w:tab w:val="num" w:pos="2160"/>
        </w:tabs>
        <w:ind w:left="2160" w:hanging="360"/>
      </w:pPr>
      <w:rPr>
        <w:rFonts w:ascii="Arial" w:hAnsi="Arial" w:hint="default"/>
      </w:rPr>
    </w:lvl>
    <w:lvl w:ilvl="3" w:tplc="438848E0" w:tentative="1">
      <w:start w:val="1"/>
      <w:numFmt w:val="bullet"/>
      <w:lvlText w:val="–"/>
      <w:lvlJc w:val="left"/>
      <w:pPr>
        <w:tabs>
          <w:tab w:val="num" w:pos="2880"/>
        </w:tabs>
        <w:ind w:left="2880" w:hanging="360"/>
      </w:pPr>
      <w:rPr>
        <w:rFonts w:ascii="Arial" w:hAnsi="Arial" w:hint="default"/>
      </w:rPr>
    </w:lvl>
    <w:lvl w:ilvl="4" w:tplc="506EE60A" w:tentative="1">
      <w:start w:val="1"/>
      <w:numFmt w:val="bullet"/>
      <w:lvlText w:val="–"/>
      <w:lvlJc w:val="left"/>
      <w:pPr>
        <w:tabs>
          <w:tab w:val="num" w:pos="3600"/>
        </w:tabs>
        <w:ind w:left="3600" w:hanging="360"/>
      </w:pPr>
      <w:rPr>
        <w:rFonts w:ascii="Arial" w:hAnsi="Arial" w:hint="default"/>
      </w:rPr>
    </w:lvl>
    <w:lvl w:ilvl="5" w:tplc="8CBC95A2" w:tentative="1">
      <w:start w:val="1"/>
      <w:numFmt w:val="bullet"/>
      <w:lvlText w:val="–"/>
      <w:lvlJc w:val="left"/>
      <w:pPr>
        <w:tabs>
          <w:tab w:val="num" w:pos="4320"/>
        </w:tabs>
        <w:ind w:left="4320" w:hanging="360"/>
      </w:pPr>
      <w:rPr>
        <w:rFonts w:ascii="Arial" w:hAnsi="Arial" w:hint="default"/>
      </w:rPr>
    </w:lvl>
    <w:lvl w:ilvl="6" w:tplc="0D3AD1B8" w:tentative="1">
      <w:start w:val="1"/>
      <w:numFmt w:val="bullet"/>
      <w:lvlText w:val="–"/>
      <w:lvlJc w:val="left"/>
      <w:pPr>
        <w:tabs>
          <w:tab w:val="num" w:pos="5040"/>
        </w:tabs>
        <w:ind w:left="5040" w:hanging="360"/>
      </w:pPr>
      <w:rPr>
        <w:rFonts w:ascii="Arial" w:hAnsi="Arial" w:hint="default"/>
      </w:rPr>
    </w:lvl>
    <w:lvl w:ilvl="7" w:tplc="3DE04078" w:tentative="1">
      <w:start w:val="1"/>
      <w:numFmt w:val="bullet"/>
      <w:lvlText w:val="–"/>
      <w:lvlJc w:val="left"/>
      <w:pPr>
        <w:tabs>
          <w:tab w:val="num" w:pos="5760"/>
        </w:tabs>
        <w:ind w:left="5760" w:hanging="360"/>
      </w:pPr>
      <w:rPr>
        <w:rFonts w:ascii="Arial" w:hAnsi="Arial" w:hint="default"/>
      </w:rPr>
    </w:lvl>
    <w:lvl w:ilvl="8" w:tplc="9F66BE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2B4681"/>
    <w:multiLevelType w:val="hybridMultilevel"/>
    <w:tmpl w:val="EF0EB5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52A37"/>
    <w:multiLevelType w:val="hybridMultilevel"/>
    <w:tmpl w:val="98602E70"/>
    <w:lvl w:ilvl="0" w:tplc="CE82ED24">
      <w:start w:val="1"/>
      <w:numFmt w:val="bullet"/>
      <w:lvlText w:val="•"/>
      <w:lvlJc w:val="left"/>
      <w:pPr>
        <w:tabs>
          <w:tab w:val="num" w:pos="720"/>
        </w:tabs>
        <w:ind w:left="720" w:hanging="360"/>
      </w:pPr>
      <w:rPr>
        <w:rFonts w:ascii="Arial" w:hAnsi="Arial" w:hint="default"/>
      </w:rPr>
    </w:lvl>
    <w:lvl w:ilvl="1" w:tplc="41CA35BC" w:tentative="1">
      <w:start w:val="1"/>
      <w:numFmt w:val="bullet"/>
      <w:lvlText w:val="•"/>
      <w:lvlJc w:val="left"/>
      <w:pPr>
        <w:tabs>
          <w:tab w:val="num" w:pos="1440"/>
        </w:tabs>
        <w:ind w:left="1440" w:hanging="360"/>
      </w:pPr>
      <w:rPr>
        <w:rFonts w:ascii="Arial" w:hAnsi="Arial" w:hint="default"/>
      </w:rPr>
    </w:lvl>
    <w:lvl w:ilvl="2" w:tplc="E1D6915E" w:tentative="1">
      <w:start w:val="1"/>
      <w:numFmt w:val="bullet"/>
      <w:lvlText w:val="•"/>
      <w:lvlJc w:val="left"/>
      <w:pPr>
        <w:tabs>
          <w:tab w:val="num" w:pos="2160"/>
        </w:tabs>
        <w:ind w:left="2160" w:hanging="360"/>
      </w:pPr>
      <w:rPr>
        <w:rFonts w:ascii="Arial" w:hAnsi="Arial" w:hint="default"/>
      </w:rPr>
    </w:lvl>
    <w:lvl w:ilvl="3" w:tplc="2CD08222" w:tentative="1">
      <w:start w:val="1"/>
      <w:numFmt w:val="bullet"/>
      <w:lvlText w:val="•"/>
      <w:lvlJc w:val="left"/>
      <w:pPr>
        <w:tabs>
          <w:tab w:val="num" w:pos="2880"/>
        </w:tabs>
        <w:ind w:left="2880" w:hanging="360"/>
      </w:pPr>
      <w:rPr>
        <w:rFonts w:ascii="Arial" w:hAnsi="Arial" w:hint="default"/>
      </w:rPr>
    </w:lvl>
    <w:lvl w:ilvl="4" w:tplc="E64C8248" w:tentative="1">
      <w:start w:val="1"/>
      <w:numFmt w:val="bullet"/>
      <w:lvlText w:val="•"/>
      <w:lvlJc w:val="left"/>
      <w:pPr>
        <w:tabs>
          <w:tab w:val="num" w:pos="3600"/>
        </w:tabs>
        <w:ind w:left="3600" w:hanging="360"/>
      </w:pPr>
      <w:rPr>
        <w:rFonts w:ascii="Arial" w:hAnsi="Arial" w:hint="default"/>
      </w:rPr>
    </w:lvl>
    <w:lvl w:ilvl="5" w:tplc="6DA03238" w:tentative="1">
      <w:start w:val="1"/>
      <w:numFmt w:val="bullet"/>
      <w:lvlText w:val="•"/>
      <w:lvlJc w:val="left"/>
      <w:pPr>
        <w:tabs>
          <w:tab w:val="num" w:pos="4320"/>
        </w:tabs>
        <w:ind w:left="4320" w:hanging="360"/>
      </w:pPr>
      <w:rPr>
        <w:rFonts w:ascii="Arial" w:hAnsi="Arial" w:hint="default"/>
      </w:rPr>
    </w:lvl>
    <w:lvl w:ilvl="6" w:tplc="DDE41E1A" w:tentative="1">
      <w:start w:val="1"/>
      <w:numFmt w:val="bullet"/>
      <w:lvlText w:val="•"/>
      <w:lvlJc w:val="left"/>
      <w:pPr>
        <w:tabs>
          <w:tab w:val="num" w:pos="5040"/>
        </w:tabs>
        <w:ind w:left="5040" w:hanging="360"/>
      </w:pPr>
      <w:rPr>
        <w:rFonts w:ascii="Arial" w:hAnsi="Arial" w:hint="default"/>
      </w:rPr>
    </w:lvl>
    <w:lvl w:ilvl="7" w:tplc="35EC0F16" w:tentative="1">
      <w:start w:val="1"/>
      <w:numFmt w:val="bullet"/>
      <w:lvlText w:val="•"/>
      <w:lvlJc w:val="left"/>
      <w:pPr>
        <w:tabs>
          <w:tab w:val="num" w:pos="5760"/>
        </w:tabs>
        <w:ind w:left="5760" w:hanging="360"/>
      </w:pPr>
      <w:rPr>
        <w:rFonts w:ascii="Arial" w:hAnsi="Arial" w:hint="default"/>
      </w:rPr>
    </w:lvl>
    <w:lvl w:ilvl="8" w:tplc="06BA82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723E3E"/>
    <w:multiLevelType w:val="hybridMultilevel"/>
    <w:tmpl w:val="02CCC442"/>
    <w:lvl w:ilvl="0" w:tplc="B6E28D8C">
      <w:start w:val="1"/>
      <w:numFmt w:val="bullet"/>
      <w:lvlText w:val="•"/>
      <w:lvlJc w:val="left"/>
      <w:pPr>
        <w:tabs>
          <w:tab w:val="num" w:pos="720"/>
        </w:tabs>
        <w:ind w:left="720" w:hanging="360"/>
      </w:pPr>
      <w:rPr>
        <w:rFonts w:ascii="Arial" w:hAnsi="Arial" w:hint="default"/>
      </w:rPr>
    </w:lvl>
    <w:lvl w:ilvl="1" w:tplc="DD12BC94">
      <w:numFmt w:val="bullet"/>
      <w:lvlText w:val="•"/>
      <w:lvlJc w:val="left"/>
      <w:pPr>
        <w:tabs>
          <w:tab w:val="num" w:pos="1440"/>
        </w:tabs>
        <w:ind w:left="1440" w:hanging="360"/>
      </w:pPr>
      <w:rPr>
        <w:rFonts w:ascii="Arial" w:hAnsi="Arial" w:hint="default"/>
      </w:rPr>
    </w:lvl>
    <w:lvl w:ilvl="2" w:tplc="F69ECB3E">
      <w:numFmt w:val="bullet"/>
      <w:lvlText w:val="•"/>
      <w:lvlJc w:val="left"/>
      <w:pPr>
        <w:tabs>
          <w:tab w:val="num" w:pos="2160"/>
        </w:tabs>
        <w:ind w:left="2160" w:hanging="360"/>
      </w:pPr>
      <w:rPr>
        <w:rFonts w:ascii="Arial" w:hAnsi="Arial" w:hint="default"/>
      </w:rPr>
    </w:lvl>
    <w:lvl w:ilvl="3" w:tplc="84B8EFA0">
      <w:numFmt w:val="bullet"/>
      <w:lvlText w:val="•"/>
      <w:lvlJc w:val="left"/>
      <w:pPr>
        <w:tabs>
          <w:tab w:val="num" w:pos="2880"/>
        </w:tabs>
        <w:ind w:left="2880" w:hanging="360"/>
      </w:pPr>
      <w:rPr>
        <w:rFonts w:ascii="Arial" w:hAnsi="Arial" w:hint="default"/>
      </w:rPr>
    </w:lvl>
    <w:lvl w:ilvl="4" w:tplc="64AA51AC" w:tentative="1">
      <w:start w:val="1"/>
      <w:numFmt w:val="bullet"/>
      <w:lvlText w:val="•"/>
      <w:lvlJc w:val="left"/>
      <w:pPr>
        <w:tabs>
          <w:tab w:val="num" w:pos="3600"/>
        </w:tabs>
        <w:ind w:left="3600" w:hanging="360"/>
      </w:pPr>
      <w:rPr>
        <w:rFonts w:ascii="Arial" w:hAnsi="Arial" w:hint="default"/>
      </w:rPr>
    </w:lvl>
    <w:lvl w:ilvl="5" w:tplc="8FE0E796" w:tentative="1">
      <w:start w:val="1"/>
      <w:numFmt w:val="bullet"/>
      <w:lvlText w:val="•"/>
      <w:lvlJc w:val="left"/>
      <w:pPr>
        <w:tabs>
          <w:tab w:val="num" w:pos="4320"/>
        </w:tabs>
        <w:ind w:left="4320" w:hanging="360"/>
      </w:pPr>
      <w:rPr>
        <w:rFonts w:ascii="Arial" w:hAnsi="Arial" w:hint="default"/>
      </w:rPr>
    </w:lvl>
    <w:lvl w:ilvl="6" w:tplc="2B0CED50" w:tentative="1">
      <w:start w:val="1"/>
      <w:numFmt w:val="bullet"/>
      <w:lvlText w:val="•"/>
      <w:lvlJc w:val="left"/>
      <w:pPr>
        <w:tabs>
          <w:tab w:val="num" w:pos="5040"/>
        </w:tabs>
        <w:ind w:left="5040" w:hanging="360"/>
      </w:pPr>
      <w:rPr>
        <w:rFonts w:ascii="Arial" w:hAnsi="Arial" w:hint="default"/>
      </w:rPr>
    </w:lvl>
    <w:lvl w:ilvl="7" w:tplc="B05A22F4" w:tentative="1">
      <w:start w:val="1"/>
      <w:numFmt w:val="bullet"/>
      <w:lvlText w:val="•"/>
      <w:lvlJc w:val="left"/>
      <w:pPr>
        <w:tabs>
          <w:tab w:val="num" w:pos="5760"/>
        </w:tabs>
        <w:ind w:left="5760" w:hanging="360"/>
      </w:pPr>
      <w:rPr>
        <w:rFonts w:ascii="Arial" w:hAnsi="Arial" w:hint="default"/>
      </w:rPr>
    </w:lvl>
    <w:lvl w:ilvl="8" w:tplc="2F703C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761D17"/>
    <w:multiLevelType w:val="hybridMultilevel"/>
    <w:tmpl w:val="3FF61B0E"/>
    <w:lvl w:ilvl="0" w:tplc="27CC3AFC">
      <w:start w:val="1"/>
      <w:numFmt w:val="bullet"/>
      <w:lvlText w:val="•"/>
      <w:lvlJc w:val="left"/>
      <w:pPr>
        <w:tabs>
          <w:tab w:val="num" w:pos="360"/>
        </w:tabs>
        <w:ind w:left="360" w:hanging="360"/>
      </w:pPr>
      <w:rPr>
        <w:rFonts w:ascii="Arial" w:hAnsi="Arial" w:hint="default"/>
      </w:rPr>
    </w:lvl>
    <w:lvl w:ilvl="1" w:tplc="33D87114">
      <w:numFmt w:val="bullet"/>
      <w:lvlText w:val="•"/>
      <w:lvlJc w:val="left"/>
      <w:pPr>
        <w:tabs>
          <w:tab w:val="num" w:pos="1080"/>
        </w:tabs>
        <w:ind w:left="1080" w:hanging="360"/>
      </w:pPr>
      <w:rPr>
        <w:rFonts w:ascii="Arial" w:hAnsi="Arial" w:hint="default"/>
      </w:rPr>
    </w:lvl>
    <w:lvl w:ilvl="2" w:tplc="778E1A50" w:tentative="1">
      <w:start w:val="1"/>
      <w:numFmt w:val="bullet"/>
      <w:lvlText w:val="•"/>
      <w:lvlJc w:val="left"/>
      <w:pPr>
        <w:tabs>
          <w:tab w:val="num" w:pos="1800"/>
        </w:tabs>
        <w:ind w:left="1800" w:hanging="360"/>
      </w:pPr>
      <w:rPr>
        <w:rFonts w:ascii="Arial" w:hAnsi="Arial" w:hint="default"/>
      </w:rPr>
    </w:lvl>
    <w:lvl w:ilvl="3" w:tplc="E5A480EC" w:tentative="1">
      <w:start w:val="1"/>
      <w:numFmt w:val="bullet"/>
      <w:lvlText w:val="•"/>
      <w:lvlJc w:val="left"/>
      <w:pPr>
        <w:tabs>
          <w:tab w:val="num" w:pos="2520"/>
        </w:tabs>
        <w:ind w:left="2520" w:hanging="360"/>
      </w:pPr>
      <w:rPr>
        <w:rFonts w:ascii="Arial" w:hAnsi="Arial" w:hint="default"/>
      </w:rPr>
    </w:lvl>
    <w:lvl w:ilvl="4" w:tplc="49D03314" w:tentative="1">
      <w:start w:val="1"/>
      <w:numFmt w:val="bullet"/>
      <w:lvlText w:val="•"/>
      <w:lvlJc w:val="left"/>
      <w:pPr>
        <w:tabs>
          <w:tab w:val="num" w:pos="3240"/>
        </w:tabs>
        <w:ind w:left="3240" w:hanging="360"/>
      </w:pPr>
      <w:rPr>
        <w:rFonts w:ascii="Arial" w:hAnsi="Arial" w:hint="default"/>
      </w:rPr>
    </w:lvl>
    <w:lvl w:ilvl="5" w:tplc="E22062F0" w:tentative="1">
      <w:start w:val="1"/>
      <w:numFmt w:val="bullet"/>
      <w:lvlText w:val="•"/>
      <w:lvlJc w:val="left"/>
      <w:pPr>
        <w:tabs>
          <w:tab w:val="num" w:pos="3960"/>
        </w:tabs>
        <w:ind w:left="3960" w:hanging="360"/>
      </w:pPr>
      <w:rPr>
        <w:rFonts w:ascii="Arial" w:hAnsi="Arial" w:hint="default"/>
      </w:rPr>
    </w:lvl>
    <w:lvl w:ilvl="6" w:tplc="EF9A7404" w:tentative="1">
      <w:start w:val="1"/>
      <w:numFmt w:val="bullet"/>
      <w:lvlText w:val="•"/>
      <w:lvlJc w:val="left"/>
      <w:pPr>
        <w:tabs>
          <w:tab w:val="num" w:pos="4680"/>
        </w:tabs>
        <w:ind w:left="4680" w:hanging="360"/>
      </w:pPr>
      <w:rPr>
        <w:rFonts w:ascii="Arial" w:hAnsi="Arial" w:hint="default"/>
      </w:rPr>
    </w:lvl>
    <w:lvl w:ilvl="7" w:tplc="1B7E11D8" w:tentative="1">
      <w:start w:val="1"/>
      <w:numFmt w:val="bullet"/>
      <w:lvlText w:val="•"/>
      <w:lvlJc w:val="left"/>
      <w:pPr>
        <w:tabs>
          <w:tab w:val="num" w:pos="5400"/>
        </w:tabs>
        <w:ind w:left="5400" w:hanging="360"/>
      </w:pPr>
      <w:rPr>
        <w:rFonts w:ascii="Arial" w:hAnsi="Arial" w:hint="default"/>
      </w:rPr>
    </w:lvl>
    <w:lvl w:ilvl="8" w:tplc="0368F88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1384B63"/>
    <w:multiLevelType w:val="hybridMultilevel"/>
    <w:tmpl w:val="A762C342"/>
    <w:lvl w:ilvl="0" w:tplc="611ABC6E">
      <w:start w:val="1"/>
      <w:numFmt w:val="bullet"/>
      <w:lvlText w:val="•"/>
      <w:lvlJc w:val="left"/>
      <w:pPr>
        <w:tabs>
          <w:tab w:val="num" w:pos="360"/>
        </w:tabs>
        <w:ind w:left="360" w:hanging="360"/>
      </w:pPr>
      <w:rPr>
        <w:rFonts w:ascii="Arial" w:hAnsi="Arial" w:hint="default"/>
      </w:rPr>
    </w:lvl>
    <w:lvl w:ilvl="1" w:tplc="766ED766">
      <w:numFmt w:val="bullet"/>
      <w:lvlText w:val="–"/>
      <w:lvlJc w:val="left"/>
      <w:pPr>
        <w:tabs>
          <w:tab w:val="num" w:pos="1080"/>
        </w:tabs>
        <w:ind w:left="1080" w:hanging="360"/>
      </w:pPr>
      <w:rPr>
        <w:rFonts w:ascii="Arial" w:hAnsi="Arial" w:hint="default"/>
      </w:rPr>
    </w:lvl>
    <w:lvl w:ilvl="2" w:tplc="14C4F93E" w:tentative="1">
      <w:start w:val="1"/>
      <w:numFmt w:val="bullet"/>
      <w:lvlText w:val="•"/>
      <w:lvlJc w:val="left"/>
      <w:pPr>
        <w:tabs>
          <w:tab w:val="num" w:pos="1800"/>
        </w:tabs>
        <w:ind w:left="1800" w:hanging="360"/>
      </w:pPr>
      <w:rPr>
        <w:rFonts w:ascii="Arial" w:hAnsi="Arial" w:hint="default"/>
      </w:rPr>
    </w:lvl>
    <w:lvl w:ilvl="3" w:tplc="85660A70" w:tentative="1">
      <w:start w:val="1"/>
      <w:numFmt w:val="bullet"/>
      <w:lvlText w:val="•"/>
      <w:lvlJc w:val="left"/>
      <w:pPr>
        <w:tabs>
          <w:tab w:val="num" w:pos="2520"/>
        </w:tabs>
        <w:ind w:left="2520" w:hanging="360"/>
      </w:pPr>
      <w:rPr>
        <w:rFonts w:ascii="Arial" w:hAnsi="Arial" w:hint="default"/>
      </w:rPr>
    </w:lvl>
    <w:lvl w:ilvl="4" w:tplc="D554A122" w:tentative="1">
      <w:start w:val="1"/>
      <w:numFmt w:val="bullet"/>
      <w:lvlText w:val="•"/>
      <w:lvlJc w:val="left"/>
      <w:pPr>
        <w:tabs>
          <w:tab w:val="num" w:pos="3240"/>
        </w:tabs>
        <w:ind w:left="3240" w:hanging="360"/>
      </w:pPr>
      <w:rPr>
        <w:rFonts w:ascii="Arial" w:hAnsi="Arial" w:hint="default"/>
      </w:rPr>
    </w:lvl>
    <w:lvl w:ilvl="5" w:tplc="30C679AE" w:tentative="1">
      <w:start w:val="1"/>
      <w:numFmt w:val="bullet"/>
      <w:lvlText w:val="•"/>
      <w:lvlJc w:val="left"/>
      <w:pPr>
        <w:tabs>
          <w:tab w:val="num" w:pos="3960"/>
        </w:tabs>
        <w:ind w:left="3960" w:hanging="360"/>
      </w:pPr>
      <w:rPr>
        <w:rFonts w:ascii="Arial" w:hAnsi="Arial" w:hint="default"/>
      </w:rPr>
    </w:lvl>
    <w:lvl w:ilvl="6" w:tplc="71261E90" w:tentative="1">
      <w:start w:val="1"/>
      <w:numFmt w:val="bullet"/>
      <w:lvlText w:val="•"/>
      <w:lvlJc w:val="left"/>
      <w:pPr>
        <w:tabs>
          <w:tab w:val="num" w:pos="4680"/>
        </w:tabs>
        <w:ind w:left="4680" w:hanging="360"/>
      </w:pPr>
      <w:rPr>
        <w:rFonts w:ascii="Arial" w:hAnsi="Arial" w:hint="default"/>
      </w:rPr>
    </w:lvl>
    <w:lvl w:ilvl="7" w:tplc="E9E2311C" w:tentative="1">
      <w:start w:val="1"/>
      <w:numFmt w:val="bullet"/>
      <w:lvlText w:val="•"/>
      <w:lvlJc w:val="left"/>
      <w:pPr>
        <w:tabs>
          <w:tab w:val="num" w:pos="5400"/>
        </w:tabs>
        <w:ind w:left="5400" w:hanging="360"/>
      </w:pPr>
      <w:rPr>
        <w:rFonts w:ascii="Arial" w:hAnsi="Arial" w:hint="default"/>
      </w:rPr>
    </w:lvl>
    <w:lvl w:ilvl="8" w:tplc="5194EF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9"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518E7"/>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61E50"/>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EC07B80"/>
    <w:multiLevelType w:val="hybridMultilevel"/>
    <w:tmpl w:val="48C86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6236EB7"/>
    <w:multiLevelType w:val="hybridMultilevel"/>
    <w:tmpl w:val="42B0B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3619E"/>
    <w:multiLevelType w:val="hybridMultilevel"/>
    <w:tmpl w:val="8184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8"/>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5"/>
  </w:num>
  <w:num w:numId="8">
    <w:abstractNumId w:val="26"/>
  </w:num>
  <w:num w:numId="9">
    <w:abstractNumId w:val="14"/>
  </w:num>
  <w:num w:numId="10">
    <w:abstractNumId w:val="17"/>
  </w:num>
  <w:num w:numId="11">
    <w:abstractNumId w:val="9"/>
  </w:num>
  <w:num w:numId="12">
    <w:abstractNumId w:val="3"/>
  </w:num>
  <w:num w:numId="13">
    <w:abstractNumId w:val="6"/>
  </w:num>
  <w:num w:numId="14">
    <w:abstractNumId w:val="13"/>
  </w:num>
  <w:num w:numId="15">
    <w:abstractNumId w:val="2"/>
  </w:num>
  <w:num w:numId="16">
    <w:abstractNumId w:val="21"/>
  </w:num>
  <w:num w:numId="17">
    <w:abstractNumId w:val="27"/>
  </w:num>
  <w:num w:numId="18">
    <w:abstractNumId w:val="20"/>
  </w:num>
  <w:num w:numId="19">
    <w:abstractNumId w:val="22"/>
  </w:num>
  <w:num w:numId="20">
    <w:abstractNumId w:val="4"/>
  </w:num>
  <w:num w:numId="21">
    <w:abstractNumId w:val="10"/>
  </w:num>
  <w:num w:numId="22">
    <w:abstractNumId w:val="15"/>
  </w:num>
  <w:num w:numId="23">
    <w:abstractNumId w:val="19"/>
  </w:num>
  <w:num w:numId="24">
    <w:abstractNumId w:val="11"/>
  </w:num>
  <w:num w:numId="25">
    <w:abstractNumId w:val="16"/>
  </w:num>
  <w:num w:numId="26">
    <w:abstractNumId w:val="8"/>
  </w:num>
  <w:num w:numId="27">
    <w:abstractNumId w:val="5"/>
  </w:num>
  <w:num w:numId="28">
    <w:abstractNumId w:val="12"/>
  </w:num>
  <w:num w:numId="2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3F5"/>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512"/>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17F99"/>
    <w:rsid w:val="000204C8"/>
    <w:rsid w:val="00020690"/>
    <w:rsid w:val="0002087D"/>
    <w:rsid w:val="00020AC8"/>
    <w:rsid w:val="00020BD6"/>
    <w:rsid w:val="00020CDD"/>
    <w:rsid w:val="00020E38"/>
    <w:rsid w:val="00021396"/>
    <w:rsid w:val="0002169F"/>
    <w:rsid w:val="0002180A"/>
    <w:rsid w:val="0002183C"/>
    <w:rsid w:val="0002232D"/>
    <w:rsid w:val="000223E8"/>
    <w:rsid w:val="00022625"/>
    <w:rsid w:val="00022A0D"/>
    <w:rsid w:val="00022CCB"/>
    <w:rsid w:val="00022CD0"/>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65D"/>
    <w:rsid w:val="00041973"/>
    <w:rsid w:val="00041A4F"/>
    <w:rsid w:val="00041BEA"/>
    <w:rsid w:val="00041D2E"/>
    <w:rsid w:val="000420FB"/>
    <w:rsid w:val="000421CD"/>
    <w:rsid w:val="000426FE"/>
    <w:rsid w:val="00043021"/>
    <w:rsid w:val="00043AC2"/>
    <w:rsid w:val="00043CFD"/>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47F54"/>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47D"/>
    <w:rsid w:val="00061573"/>
    <w:rsid w:val="00061A4D"/>
    <w:rsid w:val="00062128"/>
    <w:rsid w:val="000622CC"/>
    <w:rsid w:val="000623C9"/>
    <w:rsid w:val="00062717"/>
    <w:rsid w:val="0006298C"/>
    <w:rsid w:val="00062E5A"/>
    <w:rsid w:val="00062EB0"/>
    <w:rsid w:val="00062F52"/>
    <w:rsid w:val="00063A9B"/>
    <w:rsid w:val="00063C2A"/>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4D9"/>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54"/>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A22"/>
    <w:rsid w:val="00084BE4"/>
    <w:rsid w:val="00085051"/>
    <w:rsid w:val="0008544F"/>
    <w:rsid w:val="00085AB1"/>
    <w:rsid w:val="00085BB9"/>
    <w:rsid w:val="00085C24"/>
    <w:rsid w:val="00085DB7"/>
    <w:rsid w:val="000864C4"/>
    <w:rsid w:val="0008674D"/>
    <w:rsid w:val="000867CF"/>
    <w:rsid w:val="0008682B"/>
    <w:rsid w:val="000868C5"/>
    <w:rsid w:val="00086E54"/>
    <w:rsid w:val="00086E82"/>
    <w:rsid w:val="00086EA8"/>
    <w:rsid w:val="000873B2"/>
    <w:rsid w:val="000904F1"/>
    <w:rsid w:val="00090928"/>
    <w:rsid w:val="00090BB8"/>
    <w:rsid w:val="000918AB"/>
    <w:rsid w:val="00091B0E"/>
    <w:rsid w:val="00091B10"/>
    <w:rsid w:val="00092376"/>
    <w:rsid w:val="00092919"/>
    <w:rsid w:val="00092CBB"/>
    <w:rsid w:val="00092DCA"/>
    <w:rsid w:val="00092E84"/>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84D"/>
    <w:rsid w:val="00096FBB"/>
    <w:rsid w:val="0009715C"/>
    <w:rsid w:val="000972E8"/>
    <w:rsid w:val="000975EF"/>
    <w:rsid w:val="00097891"/>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6F7"/>
    <w:rsid w:val="000A2A53"/>
    <w:rsid w:val="000A2AC9"/>
    <w:rsid w:val="000A2D07"/>
    <w:rsid w:val="000A31EE"/>
    <w:rsid w:val="000A343E"/>
    <w:rsid w:val="000A3A69"/>
    <w:rsid w:val="000A3CF5"/>
    <w:rsid w:val="000A3F33"/>
    <w:rsid w:val="000A4011"/>
    <w:rsid w:val="000A401B"/>
    <w:rsid w:val="000A412F"/>
    <w:rsid w:val="000A45F4"/>
    <w:rsid w:val="000A52AF"/>
    <w:rsid w:val="000A55FA"/>
    <w:rsid w:val="000A561C"/>
    <w:rsid w:val="000A5772"/>
    <w:rsid w:val="000A6602"/>
    <w:rsid w:val="000A6C97"/>
    <w:rsid w:val="000A7137"/>
    <w:rsid w:val="000A786A"/>
    <w:rsid w:val="000A791E"/>
    <w:rsid w:val="000A7931"/>
    <w:rsid w:val="000A7979"/>
    <w:rsid w:val="000A79E3"/>
    <w:rsid w:val="000B04A1"/>
    <w:rsid w:val="000B0794"/>
    <w:rsid w:val="000B0897"/>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29"/>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BB1"/>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0B9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7BA"/>
    <w:rsid w:val="000E4841"/>
    <w:rsid w:val="000E4C33"/>
    <w:rsid w:val="000E5286"/>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6F5"/>
    <w:rsid w:val="000F5028"/>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65F"/>
    <w:rsid w:val="00100A0E"/>
    <w:rsid w:val="00100B4A"/>
    <w:rsid w:val="00101007"/>
    <w:rsid w:val="00101576"/>
    <w:rsid w:val="0010167E"/>
    <w:rsid w:val="001017A0"/>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8E7"/>
    <w:rsid w:val="00116F74"/>
    <w:rsid w:val="001173FF"/>
    <w:rsid w:val="001176B7"/>
    <w:rsid w:val="00117C45"/>
    <w:rsid w:val="00120028"/>
    <w:rsid w:val="0012027C"/>
    <w:rsid w:val="0012072F"/>
    <w:rsid w:val="00120AEF"/>
    <w:rsid w:val="00120D77"/>
    <w:rsid w:val="00120DDC"/>
    <w:rsid w:val="00120EA2"/>
    <w:rsid w:val="001212E1"/>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B73"/>
    <w:rsid w:val="00124252"/>
    <w:rsid w:val="00124802"/>
    <w:rsid w:val="00124944"/>
    <w:rsid w:val="00124EC1"/>
    <w:rsid w:val="00125453"/>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27FBC"/>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16CB"/>
    <w:rsid w:val="00142166"/>
    <w:rsid w:val="001421C5"/>
    <w:rsid w:val="001425D9"/>
    <w:rsid w:val="0014277F"/>
    <w:rsid w:val="001429B1"/>
    <w:rsid w:val="001429F4"/>
    <w:rsid w:val="00142B79"/>
    <w:rsid w:val="00142D74"/>
    <w:rsid w:val="00142DA0"/>
    <w:rsid w:val="00142E29"/>
    <w:rsid w:val="001430CD"/>
    <w:rsid w:val="001434B1"/>
    <w:rsid w:val="001435FA"/>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2B"/>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65D"/>
    <w:rsid w:val="001661AA"/>
    <w:rsid w:val="00166833"/>
    <w:rsid w:val="001670CA"/>
    <w:rsid w:val="001679C5"/>
    <w:rsid w:val="00167EEE"/>
    <w:rsid w:val="00167F07"/>
    <w:rsid w:val="00170570"/>
    <w:rsid w:val="001706FF"/>
    <w:rsid w:val="001709BD"/>
    <w:rsid w:val="00170A53"/>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BA4"/>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5EA"/>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D0"/>
    <w:rsid w:val="001905F3"/>
    <w:rsid w:val="00190DFF"/>
    <w:rsid w:val="00190F12"/>
    <w:rsid w:val="0019114E"/>
    <w:rsid w:val="001916F8"/>
    <w:rsid w:val="00191D33"/>
    <w:rsid w:val="00192293"/>
    <w:rsid w:val="001925A9"/>
    <w:rsid w:val="00192694"/>
    <w:rsid w:val="001929EC"/>
    <w:rsid w:val="00192D4C"/>
    <w:rsid w:val="001930FF"/>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A7A2E"/>
    <w:rsid w:val="001B0033"/>
    <w:rsid w:val="001B0041"/>
    <w:rsid w:val="001B01BF"/>
    <w:rsid w:val="001B035A"/>
    <w:rsid w:val="001B0D79"/>
    <w:rsid w:val="001B0F6F"/>
    <w:rsid w:val="001B1099"/>
    <w:rsid w:val="001B1160"/>
    <w:rsid w:val="001B11CA"/>
    <w:rsid w:val="001B12B5"/>
    <w:rsid w:val="001B1718"/>
    <w:rsid w:val="001B180F"/>
    <w:rsid w:val="001B196B"/>
    <w:rsid w:val="001B1CEA"/>
    <w:rsid w:val="001B2219"/>
    <w:rsid w:val="001B2401"/>
    <w:rsid w:val="001B2495"/>
    <w:rsid w:val="001B2BAE"/>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8C"/>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B3D"/>
    <w:rsid w:val="001C3FC8"/>
    <w:rsid w:val="001C41EF"/>
    <w:rsid w:val="001C4252"/>
    <w:rsid w:val="001C4493"/>
    <w:rsid w:val="001C4833"/>
    <w:rsid w:val="001C48F2"/>
    <w:rsid w:val="001C4AAD"/>
    <w:rsid w:val="001C4C6D"/>
    <w:rsid w:val="001C50D5"/>
    <w:rsid w:val="001C54F3"/>
    <w:rsid w:val="001C5DB8"/>
    <w:rsid w:val="001C6147"/>
    <w:rsid w:val="001C6C98"/>
    <w:rsid w:val="001C71F2"/>
    <w:rsid w:val="001C7AB5"/>
    <w:rsid w:val="001C7CB9"/>
    <w:rsid w:val="001C7DC1"/>
    <w:rsid w:val="001C7FE6"/>
    <w:rsid w:val="001D04B9"/>
    <w:rsid w:val="001D0D0C"/>
    <w:rsid w:val="001D1447"/>
    <w:rsid w:val="001D1469"/>
    <w:rsid w:val="001D17A0"/>
    <w:rsid w:val="001D1841"/>
    <w:rsid w:val="001D2401"/>
    <w:rsid w:val="001D27A4"/>
    <w:rsid w:val="001D2896"/>
    <w:rsid w:val="001D28C3"/>
    <w:rsid w:val="001D2900"/>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D7DA2"/>
    <w:rsid w:val="001E075B"/>
    <w:rsid w:val="001E08BE"/>
    <w:rsid w:val="001E0BE0"/>
    <w:rsid w:val="001E0D4B"/>
    <w:rsid w:val="001E0D7E"/>
    <w:rsid w:val="001E0F4F"/>
    <w:rsid w:val="001E1023"/>
    <w:rsid w:val="001E1039"/>
    <w:rsid w:val="001E10D9"/>
    <w:rsid w:val="001E1225"/>
    <w:rsid w:val="001E15C8"/>
    <w:rsid w:val="001E17AA"/>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7BF"/>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981"/>
    <w:rsid w:val="00205462"/>
    <w:rsid w:val="00205D0B"/>
    <w:rsid w:val="002064D1"/>
    <w:rsid w:val="00206577"/>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A12"/>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6D7"/>
    <w:rsid w:val="00222C40"/>
    <w:rsid w:val="00222D1D"/>
    <w:rsid w:val="002230A2"/>
    <w:rsid w:val="002232E7"/>
    <w:rsid w:val="0022384F"/>
    <w:rsid w:val="00223ACF"/>
    <w:rsid w:val="00223D1D"/>
    <w:rsid w:val="002244C6"/>
    <w:rsid w:val="002244D7"/>
    <w:rsid w:val="002247C0"/>
    <w:rsid w:val="0022496F"/>
    <w:rsid w:val="002249C0"/>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BB6"/>
    <w:rsid w:val="00235CD0"/>
    <w:rsid w:val="00235D88"/>
    <w:rsid w:val="00235F0C"/>
    <w:rsid w:val="0023633E"/>
    <w:rsid w:val="00236947"/>
    <w:rsid w:val="00236B0E"/>
    <w:rsid w:val="00236C6E"/>
    <w:rsid w:val="00237211"/>
    <w:rsid w:val="0023729A"/>
    <w:rsid w:val="002376C5"/>
    <w:rsid w:val="00237771"/>
    <w:rsid w:val="00237BAA"/>
    <w:rsid w:val="00237E42"/>
    <w:rsid w:val="00240103"/>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688"/>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2F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4E99"/>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7D0"/>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CD5"/>
    <w:rsid w:val="00281EDE"/>
    <w:rsid w:val="002820BE"/>
    <w:rsid w:val="00282117"/>
    <w:rsid w:val="00282B19"/>
    <w:rsid w:val="00282DFF"/>
    <w:rsid w:val="00282E83"/>
    <w:rsid w:val="00282F07"/>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9DB"/>
    <w:rsid w:val="00286B25"/>
    <w:rsid w:val="0028747B"/>
    <w:rsid w:val="0028755B"/>
    <w:rsid w:val="0028778A"/>
    <w:rsid w:val="00290020"/>
    <w:rsid w:val="00290419"/>
    <w:rsid w:val="00290AAA"/>
    <w:rsid w:val="00290B2A"/>
    <w:rsid w:val="00291427"/>
    <w:rsid w:val="002918D7"/>
    <w:rsid w:val="00291CFD"/>
    <w:rsid w:val="00291E02"/>
    <w:rsid w:val="00292022"/>
    <w:rsid w:val="002920AC"/>
    <w:rsid w:val="002921C4"/>
    <w:rsid w:val="0029264D"/>
    <w:rsid w:val="0029270A"/>
    <w:rsid w:val="00292FDC"/>
    <w:rsid w:val="002932EC"/>
    <w:rsid w:val="00293690"/>
    <w:rsid w:val="00293C4F"/>
    <w:rsid w:val="00293E2D"/>
    <w:rsid w:val="00293F44"/>
    <w:rsid w:val="0029451A"/>
    <w:rsid w:val="00294592"/>
    <w:rsid w:val="00294860"/>
    <w:rsid w:val="0029558F"/>
    <w:rsid w:val="002955F1"/>
    <w:rsid w:val="00295815"/>
    <w:rsid w:val="00295AAC"/>
    <w:rsid w:val="002960F3"/>
    <w:rsid w:val="002968C9"/>
    <w:rsid w:val="00296B7E"/>
    <w:rsid w:val="00296FCC"/>
    <w:rsid w:val="002976AF"/>
    <w:rsid w:val="00297836"/>
    <w:rsid w:val="00297B1F"/>
    <w:rsid w:val="00297B7D"/>
    <w:rsid w:val="00297C07"/>
    <w:rsid w:val="002A083B"/>
    <w:rsid w:val="002A1083"/>
    <w:rsid w:val="002A117A"/>
    <w:rsid w:val="002A13A0"/>
    <w:rsid w:val="002A1AD8"/>
    <w:rsid w:val="002A1EE9"/>
    <w:rsid w:val="002A1F3C"/>
    <w:rsid w:val="002A271D"/>
    <w:rsid w:val="002A2BD7"/>
    <w:rsid w:val="002A36C9"/>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79"/>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3DF6"/>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D47"/>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4D1"/>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FFE"/>
    <w:rsid w:val="002F0385"/>
    <w:rsid w:val="002F03B7"/>
    <w:rsid w:val="002F053B"/>
    <w:rsid w:val="002F1791"/>
    <w:rsid w:val="002F1837"/>
    <w:rsid w:val="002F1CD5"/>
    <w:rsid w:val="002F1DB2"/>
    <w:rsid w:val="002F1FBE"/>
    <w:rsid w:val="002F1FD2"/>
    <w:rsid w:val="002F271A"/>
    <w:rsid w:val="002F278A"/>
    <w:rsid w:val="002F2BC2"/>
    <w:rsid w:val="002F2D1F"/>
    <w:rsid w:val="002F2F91"/>
    <w:rsid w:val="002F3196"/>
    <w:rsid w:val="002F3993"/>
    <w:rsid w:val="002F3ACB"/>
    <w:rsid w:val="002F3D42"/>
    <w:rsid w:val="002F3DC5"/>
    <w:rsid w:val="002F3E37"/>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4FE"/>
    <w:rsid w:val="00306465"/>
    <w:rsid w:val="0030648A"/>
    <w:rsid w:val="00306BCE"/>
    <w:rsid w:val="00306DBB"/>
    <w:rsid w:val="00306EA9"/>
    <w:rsid w:val="00306F18"/>
    <w:rsid w:val="0030705A"/>
    <w:rsid w:val="00307141"/>
    <w:rsid w:val="00307B31"/>
    <w:rsid w:val="00307C34"/>
    <w:rsid w:val="00307CE4"/>
    <w:rsid w:val="00307DA2"/>
    <w:rsid w:val="00307DAA"/>
    <w:rsid w:val="00307DD8"/>
    <w:rsid w:val="00310081"/>
    <w:rsid w:val="003100C1"/>
    <w:rsid w:val="0031040B"/>
    <w:rsid w:val="0031046B"/>
    <w:rsid w:val="0031072C"/>
    <w:rsid w:val="00310901"/>
    <w:rsid w:val="0031099F"/>
    <w:rsid w:val="00310E1C"/>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02"/>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76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8DB"/>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8EE"/>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ED7"/>
    <w:rsid w:val="00350F2B"/>
    <w:rsid w:val="003512AF"/>
    <w:rsid w:val="00351427"/>
    <w:rsid w:val="003514C4"/>
    <w:rsid w:val="00351DE8"/>
    <w:rsid w:val="0035214E"/>
    <w:rsid w:val="00352426"/>
    <w:rsid w:val="00352E1E"/>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3B6"/>
    <w:rsid w:val="00370CD8"/>
    <w:rsid w:val="00370CDE"/>
    <w:rsid w:val="00370D19"/>
    <w:rsid w:val="00370DEA"/>
    <w:rsid w:val="00370E6B"/>
    <w:rsid w:val="00370F3D"/>
    <w:rsid w:val="003713DE"/>
    <w:rsid w:val="00371808"/>
    <w:rsid w:val="00371D2B"/>
    <w:rsid w:val="00371F2A"/>
    <w:rsid w:val="003720AD"/>
    <w:rsid w:val="003720D5"/>
    <w:rsid w:val="0037222C"/>
    <w:rsid w:val="003724AB"/>
    <w:rsid w:val="003724CB"/>
    <w:rsid w:val="00372755"/>
    <w:rsid w:val="00372888"/>
    <w:rsid w:val="00372E31"/>
    <w:rsid w:val="00372F70"/>
    <w:rsid w:val="00373006"/>
    <w:rsid w:val="0037324A"/>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7F"/>
    <w:rsid w:val="003861E5"/>
    <w:rsid w:val="00386381"/>
    <w:rsid w:val="0038645C"/>
    <w:rsid w:val="00386966"/>
    <w:rsid w:val="003869C2"/>
    <w:rsid w:val="00386D4D"/>
    <w:rsid w:val="00386FD3"/>
    <w:rsid w:val="003870AA"/>
    <w:rsid w:val="003873A6"/>
    <w:rsid w:val="00387571"/>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85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84A"/>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36"/>
    <w:rsid w:val="003C21AE"/>
    <w:rsid w:val="003C2700"/>
    <w:rsid w:val="003C2936"/>
    <w:rsid w:val="003C2B8F"/>
    <w:rsid w:val="003C2F7F"/>
    <w:rsid w:val="003C2FAA"/>
    <w:rsid w:val="003C3065"/>
    <w:rsid w:val="003C3144"/>
    <w:rsid w:val="003C3183"/>
    <w:rsid w:val="003C37C2"/>
    <w:rsid w:val="003C3BFE"/>
    <w:rsid w:val="003C3C62"/>
    <w:rsid w:val="003C3E59"/>
    <w:rsid w:val="003C47FA"/>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A8F"/>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4B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57A6"/>
    <w:rsid w:val="003E6233"/>
    <w:rsid w:val="003E638F"/>
    <w:rsid w:val="003E658E"/>
    <w:rsid w:val="003E65BD"/>
    <w:rsid w:val="003E687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70B"/>
    <w:rsid w:val="003F491F"/>
    <w:rsid w:val="003F5078"/>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6A7"/>
    <w:rsid w:val="00410ECD"/>
    <w:rsid w:val="00411086"/>
    <w:rsid w:val="00411109"/>
    <w:rsid w:val="0041143A"/>
    <w:rsid w:val="0041147B"/>
    <w:rsid w:val="004115E8"/>
    <w:rsid w:val="004116D8"/>
    <w:rsid w:val="00411BF9"/>
    <w:rsid w:val="00411FAF"/>
    <w:rsid w:val="004127F8"/>
    <w:rsid w:val="004129D7"/>
    <w:rsid w:val="00412FB2"/>
    <w:rsid w:val="00413080"/>
    <w:rsid w:val="00413586"/>
    <w:rsid w:val="004136E7"/>
    <w:rsid w:val="0041388D"/>
    <w:rsid w:val="00413F8D"/>
    <w:rsid w:val="0041470F"/>
    <w:rsid w:val="00414717"/>
    <w:rsid w:val="00414BD6"/>
    <w:rsid w:val="00414F5B"/>
    <w:rsid w:val="0041502F"/>
    <w:rsid w:val="00415142"/>
    <w:rsid w:val="00415201"/>
    <w:rsid w:val="004156AD"/>
    <w:rsid w:val="00415B2E"/>
    <w:rsid w:val="00415C35"/>
    <w:rsid w:val="00415D99"/>
    <w:rsid w:val="00415EE8"/>
    <w:rsid w:val="00416169"/>
    <w:rsid w:val="00416208"/>
    <w:rsid w:val="00416263"/>
    <w:rsid w:val="00416278"/>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CB7"/>
    <w:rsid w:val="00421000"/>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70"/>
    <w:rsid w:val="0042408F"/>
    <w:rsid w:val="0042427E"/>
    <w:rsid w:val="0042453D"/>
    <w:rsid w:val="00424A70"/>
    <w:rsid w:val="00424A83"/>
    <w:rsid w:val="00424CB3"/>
    <w:rsid w:val="00425203"/>
    <w:rsid w:val="0042538A"/>
    <w:rsid w:val="004255E7"/>
    <w:rsid w:val="004257CB"/>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1A8"/>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8B4"/>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B2"/>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1B5"/>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3E58"/>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A11"/>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5B9"/>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ACF"/>
    <w:rsid w:val="00482B06"/>
    <w:rsid w:val="00482B81"/>
    <w:rsid w:val="00483095"/>
    <w:rsid w:val="004834E4"/>
    <w:rsid w:val="004837F1"/>
    <w:rsid w:val="0048385F"/>
    <w:rsid w:val="00483CF6"/>
    <w:rsid w:val="00483E28"/>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B69"/>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786"/>
    <w:rsid w:val="004A5951"/>
    <w:rsid w:val="004A6720"/>
    <w:rsid w:val="004A6900"/>
    <w:rsid w:val="004A74B6"/>
    <w:rsid w:val="004A7B1E"/>
    <w:rsid w:val="004A7C67"/>
    <w:rsid w:val="004B01DE"/>
    <w:rsid w:val="004B0836"/>
    <w:rsid w:val="004B088E"/>
    <w:rsid w:val="004B0A37"/>
    <w:rsid w:val="004B0C21"/>
    <w:rsid w:val="004B0C67"/>
    <w:rsid w:val="004B1829"/>
    <w:rsid w:val="004B18AC"/>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03D"/>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042"/>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22D"/>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BBC"/>
    <w:rsid w:val="004F0EDA"/>
    <w:rsid w:val="004F11BD"/>
    <w:rsid w:val="004F11C3"/>
    <w:rsid w:val="004F14D5"/>
    <w:rsid w:val="004F1649"/>
    <w:rsid w:val="004F1EFD"/>
    <w:rsid w:val="004F213B"/>
    <w:rsid w:val="004F24B4"/>
    <w:rsid w:val="004F26FA"/>
    <w:rsid w:val="004F2825"/>
    <w:rsid w:val="004F2C38"/>
    <w:rsid w:val="004F320F"/>
    <w:rsid w:val="004F37F0"/>
    <w:rsid w:val="004F3AD9"/>
    <w:rsid w:val="004F3AF3"/>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D4B"/>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399"/>
    <w:rsid w:val="00502542"/>
    <w:rsid w:val="005028F0"/>
    <w:rsid w:val="005030E4"/>
    <w:rsid w:val="00503219"/>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4A87"/>
    <w:rsid w:val="005151D3"/>
    <w:rsid w:val="00515AB2"/>
    <w:rsid w:val="00515D82"/>
    <w:rsid w:val="00515E37"/>
    <w:rsid w:val="00515FF1"/>
    <w:rsid w:val="0051612C"/>
    <w:rsid w:val="005167E8"/>
    <w:rsid w:val="00516891"/>
    <w:rsid w:val="00516B26"/>
    <w:rsid w:val="00516CC1"/>
    <w:rsid w:val="00516DAF"/>
    <w:rsid w:val="005177A5"/>
    <w:rsid w:val="00517803"/>
    <w:rsid w:val="005179EC"/>
    <w:rsid w:val="00517A6F"/>
    <w:rsid w:val="00517AAA"/>
    <w:rsid w:val="00517AE9"/>
    <w:rsid w:val="00517E69"/>
    <w:rsid w:val="00520A7E"/>
    <w:rsid w:val="00520E56"/>
    <w:rsid w:val="00520E7A"/>
    <w:rsid w:val="00520FEC"/>
    <w:rsid w:val="005210FE"/>
    <w:rsid w:val="0052117F"/>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A6E"/>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73"/>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833"/>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999"/>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B85"/>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23"/>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0D"/>
    <w:rsid w:val="0057369B"/>
    <w:rsid w:val="0057387C"/>
    <w:rsid w:val="00573C07"/>
    <w:rsid w:val="005747DF"/>
    <w:rsid w:val="0057486A"/>
    <w:rsid w:val="00574C5C"/>
    <w:rsid w:val="005754BC"/>
    <w:rsid w:val="00575BDE"/>
    <w:rsid w:val="00575ED0"/>
    <w:rsid w:val="005762E7"/>
    <w:rsid w:val="00576A03"/>
    <w:rsid w:val="00577CC5"/>
    <w:rsid w:val="0058025A"/>
    <w:rsid w:val="0058034C"/>
    <w:rsid w:val="00580A3A"/>
    <w:rsid w:val="00580A65"/>
    <w:rsid w:val="00580B06"/>
    <w:rsid w:val="00580CE5"/>
    <w:rsid w:val="0058123B"/>
    <w:rsid w:val="005815C0"/>
    <w:rsid w:val="00581610"/>
    <w:rsid w:val="00581E4F"/>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CEA"/>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2C2"/>
    <w:rsid w:val="0059039E"/>
    <w:rsid w:val="00591486"/>
    <w:rsid w:val="00591707"/>
    <w:rsid w:val="0059180C"/>
    <w:rsid w:val="005919A6"/>
    <w:rsid w:val="00591B05"/>
    <w:rsid w:val="00591EC0"/>
    <w:rsid w:val="005921A0"/>
    <w:rsid w:val="00592392"/>
    <w:rsid w:val="00592556"/>
    <w:rsid w:val="00592E6F"/>
    <w:rsid w:val="00593085"/>
    <w:rsid w:val="00593572"/>
    <w:rsid w:val="0059365B"/>
    <w:rsid w:val="00593697"/>
    <w:rsid w:val="0059391C"/>
    <w:rsid w:val="00593AF2"/>
    <w:rsid w:val="00593DAB"/>
    <w:rsid w:val="00593F10"/>
    <w:rsid w:val="005942D5"/>
    <w:rsid w:val="0059466A"/>
    <w:rsid w:val="0059467B"/>
    <w:rsid w:val="00594752"/>
    <w:rsid w:val="00594999"/>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0B6C"/>
    <w:rsid w:val="005A19BF"/>
    <w:rsid w:val="005A1CC0"/>
    <w:rsid w:val="005A2287"/>
    <w:rsid w:val="005A2305"/>
    <w:rsid w:val="005A2608"/>
    <w:rsid w:val="005A29EA"/>
    <w:rsid w:val="005A2BA6"/>
    <w:rsid w:val="005A2DD1"/>
    <w:rsid w:val="005A2F1B"/>
    <w:rsid w:val="005A329D"/>
    <w:rsid w:val="005A3909"/>
    <w:rsid w:val="005A39BD"/>
    <w:rsid w:val="005A3A56"/>
    <w:rsid w:val="005A3C41"/>
    <w:rsid w:val="005A3EA0"/>
    <w:rsid w:val="005A45FA"/>
    <w:rsid w:val="005A48A6"/>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0DDA"/>
    <w:rsid w:val="005B192E"/>
    <w:rsid w:val="005B1EF2"/>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B7FB4"/>
    <w:rsid w:val="005C0F93"/>
    <w:rsid w:val="005C1017"/>
    <w:rsid w:val="005C1262"/>
    <w:rsid w:val="005C1734"/>
    <w:rsid w:val="005C1AD8"/>
    <w:rsid w:val="005C1E31"/>
    <w:rsid w:val="005C240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10"/>
    <w:rsid w:val="005C686F"/>
    <w:rsid w:val="005C6C25"/>
    <w:rsid w:val="005C6EA5"/>
    <w:rsid w:val="005C7249"/>
    <w:rsid w:val="005C7667"/>
    <w:rsid w:val="005C7676"/>
    <w:rsid w:val="005C7721"/>
    <w:rsid w:val="005C77C4"/>
    <w:rsid w:val="005C7858"/>
    <w:rsid w:val="005C79D4"/>
    <w:rsid w:val="005C7BCE"/>
    <w:rsid w:val="005D0052"/>
    <w:rsid w:val="005D0487"/>
    <w:rsid w:val="005D04FD"/>
    <w:rsid w:val="005D0C2B"/>
    <w:rsid w:val="005D0D16"/>
    <w:rsid w:val="005D0FD0"/>
    <w:rsid w:val="005D1853"/>
    <w:rsid w:val="005D1A0F"/>
    <w:rsid w:val="005D219D"/>
    <w:rsid w:val="005D21BE"/>
    <w:rsid w:val="005D22A7"/>
    <w:rsid w:val="005D248F"/>
    <w:rsid w:val="005D2925"/>
    <w:rsid w:val="005D2E70"/>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13C"/>
    <w:rsid w:val="005D6520"/>
    <w:rsid w:val="005D6C7D"/>
    <w:rsid w:val="005D70EA"/>
    <w:rsid w:val="005D75A6"/>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296"/>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588"/>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47"/>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FC1"/>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BB9"/>
    <w:rsid w:val="006070AE"/>
    <w:rsid w:val="00607638"/>
    <w:rsid w:val="006076FC"/>
    <w:rsid w:val="0061005E"/>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03C"/>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285"/>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27790"/>
    <w:rsid w:val="00627833"/>
    <w:rsid w:val="00627A3A"/>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B4F"/>
    <w:rsid w:val="00634E5C"/>
    <w:rsid w:val="00634EDF"/>
    <w:rsid w:val="006352DC"/>
    <w:rsid w:val="00635564"/>
    <w:rsid w:val="006355AA"/>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6E6"/>
    <w:rsid w:val="00643717"/>
    <w:rsid w:val="0064388E"/>
    <w:rsid w:val="00643AE2"/>
    <w:rsid w:val="00643CD3"/>
    <w:rsid w:val="00643ECF"/>
    <w:rsid w:val="00643FD3"/>
    <w:rsid w:val="006443EF"/>
    <w:rsid w:val="006446B4"/>
    <w:rsid w:val="00644C82"/>
    <w:rsid w:val="006453D5"/>
    <w:rsid w:val="00645E08"/>
    <w:rsid w:val="006460BD"/>
    <w:rsid w:val="006463D9"/>
    <w:rsid w:val="00646597"/>
    <w:rsid w:val="00646CC7"/>
    <w:rsid w:val="00646E46"/>
    <w:rsid w:val="006473D1"/>
    <w:rsid w:val="00647928"/>
    <w:rsid w:val="00647ED0"/>
    <w:rsid w:val="00650105"/>
    <w:rsid w:val="0065012C"/>
    <w:rsid w:val="00650C11"/>
    <w:rsid w:val="006515A6"/>
    <w:rsid w:val="006518F1"/>
    <w:rsid w:val="00651FA9"/>
    <w:rsid w:val="0065210E"/>
    <w:rsid w:val="006523AD"/>
    <w:rsid w:val="006523C6"/>
    <w:rsid w:val="00652BD8"/>
    <w:rsid w:val="00652D75"/>
    <w:rsid w:val="00652DD1"/>
    <w:rsid w:val="00652FA4"/>
    <w:rsid w:val="0065309B"/>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A34"/>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B8D"/>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7A1"/>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C8E"/>
    <w:rsid w:val="00683F7E"/>
    <w:rsid w:val="006843AF"/>
    <w:rsid w:val="00684731"/>
    <w:rsid w:val="00684860"/>
    <w:rsid w:val="00684CED"/>
    <w:rsid w:val="00685197"/>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110"/>
    <w:rsid w:val="006923B0"/>
    <w:rsid w:val="006924C8"/>
    <w:rsid w:val="0069257A"/>
    <w:rsid w:val="00692967"/>
    <w:rsid w:val="00692A4D"/>
    <w:rsid w:val="00692E62"/>
    <w:rsid w:val="00693165"/>
    <w:rsid w:val="00693469"/>
    <w:rsid w:val="006937D5"/>
    <w:rsid w:val="00693DE0"/>
    <w:rsid w:val="00693E97"/>
    <w:rsid w:val="00694293"/>
    <w:rsid w:val="00694656"/>
    <w:rsid w:val="006947F0"/>
    <w:rsid w:val="006949C6"/>
    <w:rsid w:val="00694A11"/>
    <w:rsid w:val="00694A90"/>
    <w:rsid w:val="00694AC6"/>
    <w:rsid w:val="00694AFD"/>
    <w:rsid w:val="00694BAD"/>
    <w:rsid w:val="00694FAF"/>
    <w:rsid w:val="00694FCB"/>
    <w:rsid w:val="00695B1D"/>
    <w:rsid w:val="00695B4C"/>
    <w:rsid w:val="00695C78"/>
    <w:rsid w:val="00695D19"/>
    <w:rsid w:val="00695E49"/>
    <w:rsid w:val="0069625F"/>
    <w:rsid w:val="00696AF2"/>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206"/>
    <w:rsid w:val="006B6699"/>
    <w:rsid w:val="006B6B42"/>
    <w:rsid w:val="006B6DAA"/>
    <w:rsid w:val="006B6ED3"/>
    <w:rsid w:val="006B700B"/>
    <w:rsid w:val="006B700E"/>
    <w:rsid w:val="006B7132"/>
    <w:rsid w:val="006B7163"/>
    <w:rsid w:val="006B75AD"/>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5CA"/>
    <w:rsid w:val="006D36F8"/>
    <w:rsid w:val="006D37A3"/>
    <w:rsid w:val="006D385D"/>
    <w:rsid w:val="006D39E1"/>
    <w:rsid w:val="006D3CF0"/>
    <w:rsid w:val="006D3D0F"/>
    <w:rsid w:val="006D4032"/>
    <w:rsid w:val="006D427C"/>
    <w:rsid w:val="006D4736"/>
    <w:rsid w:val="006D4A70"/>
    <w:rsid w:val="006D4E84"/>
    <w:rsid w:val="006D5362"/>
    <w:rsid w:val="006D573B"/>
    <w:rsid w:val="006D5976"/>
    <w:rsid w:val="006D6810"/>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5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AF5"/>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BE1"/>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A26"/>
    <w:rsid w:val="00704C1F"/>
    <w:rsid w:val="00704C7F"/>
    <w:rsid w:val="00705161"/>
    <w:rsid w:val="00705C39"/>
    <w:rsid w:val="00705C3E"/>
    <w:rsid w:val="00705C9E"/>
    <w:rsid w:val="00705E84"/>
    <w:rsid w:val="00705EB8"/>
    <w:rsid w:val="00706044"/>
    <w:rsid w:val="00706076"/>
    <w:rsid w:val="00706435"/>
    <w:rsid w:val="00706740"/>
    <w:rsid w:val="00706CEE"/>
    <w:rsid w:val="007070F0"/>
    <w:rsid w:val="0070733C"/>
    <w:rsid w:val="0070764E"/>
    <w:rsid w:val="00707782"/>
    <w:rsid w:val="007079C2"/>
    <w:rsid w:val="00707A97"/>
    <w:rsid w:val="00707CFB"/>
    <w:rsid w:val="0071022E"/>
    <w:rsid w:val="007108D8"/>
    <w:rsid w:val="00710B5D"/>
    <w:rsid w:val="00711272"/>
    <w:rsid w:val="0071157E"/>
    <w:rsid w:val="00711EFE"/>
    <w:rsid w:val="00711F11"/>
    <w:rsid w:val="00712B7E"/>
    <w:rsid w:val="00712CBA"/>
    <w:rsid w:val="0071306F"/>
    <w:rsid w:val="00713741"/>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C74"/>
    <w:rsid w:val="00741EA7"/>
    <w:rsid w:val="00741ED7"/>
    <w:rsid w:val="00742201"/>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5C91"/>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DB7"/>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DF5"/>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D10"/>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49"/>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AFC"/>
    <w:rsid w:val="00776C95"/>
    <w:rsid w:val="00776F8E"/>
    <w:rsid w:val="007771C3"/>
    <w:rsid w:val="0077753C"/>
    <w:rsid w:val="00777E61"/>
    <w:rsid w:val="00777FAC"/>
    <w:rsid w:val="00781965"/>
    <w:rsid w:val="007820D6"/>
    <w:rsid w:val="007822EB"/>
    <w:rsid w:val="00782882"/>
    <w:rsid w:val="0078297D"/>
    <w:rsid w:val="00782B76"/>
    <w:rsid w:val="00782B8E"/>
    <w:rsid w:val="007837D7"/>
    <w:rsid w:val="00783A15"/>
    <w:rsid w:val="00784143"/>
    <w:rsid w:val="007843E3"/>
    <w:rsid w:val="007846C3"/>
    <w:rsid w:val="007846F4"/>
    <w:rsid w:val="00784797"/>
    <w:rsid w:val="007848DF"/>
    <w:rsid w:val="007849F6"/>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3C"/>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99"/>
    <w:rsid w:val="007B1E22"/>
    <w:rsid w:val="007B1E9D"/>
    <w:rsid w:val="007B216F"/>
    <w:rsid w:val="007B27D2"/>
    <w:rsid w:val="007B28AF"/>
    <w:rsid w:val="007B28F6"/>
    <w:rsid w:val="007B2980"/>
    <w:rsid w:val="007B2C75"/>
    <w:rsid w:val="007B2FCA"/>
    <w:rsid w:val="007B3171"/>
    <w:rsid w:val="007B334C"/>
    <w:rsid w:val="007B35B1"/>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3E6"/>
    <w:rsid w:val="007C15F6"/>
    <w:rsid w:val="007C160D"/>
    <w:rsid w:val="007C1752"/>
    <w:rsid w:val="007C1803"/>
    <w:rsid w:val="007C18C2"/>
    <w:rsid w:val="007C1C78"/>
    <w:rsid w:val="007C1CA8"/>
    <w:rsid w:val="007C2937"/>
    <w:rsid w:val="007C2B68"/>
    <w:rsid w:val="007C2DFF"/>
    <w:rsid w:val="007C2EFF"/>
    <w:rsid w:val="007C2F2F"/>
    <w:rsid w:val="007C3016"/>
    <w:rsid w:val="007C306F"/>
    <w:rsid w:val="007C37F1"/>
    <w:rsid w:val="007C38F9"/>
    <w:rsid w:val="007C3C13"/>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1D4A"/>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93"/>
    <w:rsid w:val="007D6CE6"/>
    <w:rsid w:val="007D70A7"/>
    <w:rsid w:val="007D77B4"/>
    <w:rsid w:val="007D7872"/>
    <w:rsid w:val="007D78C4"/>
    <w:rsid w:val="007E003B"/>
    <w:rsid w:val="007E0200"/>
    <w:rsid w:val="007E050F"/>
    <w:rsid w:val="007E086D"/>
    <w:rsid w:val="007E0BDA"/>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6C5C"/>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7D3"/>
    <w:rsid w:val="007F3A21"/>
    <w:rsid w:val="007F3DF9"/>
    <w:rsid w:val="007F401F"/>
    <w:rsid w:val="007F425F"/>
    <w:rsid w:val="007F4476"/>
    <w:rsid w:val="007F4AC1"/>
    <w:rsid w:val="007F5144"/>
    <w:rsid w:val="007F51CC"/>
    <w:rsid w:val="007F51CE"/>
    <w:rsid w:val="007F537A"/>
    <w:rsid w:val="007F5481"/>
    <w:rsid w:val="007F549A"/>
    <w:rsid w:val="007F5BB8"/>
    <w:rsid w:val="007F5D7E"/>
    <w:rsid w:val="007F5E0A"/>
    <w:rsid w:val="007F5F1C"/>
    <w:rsid w:val="007F5F94"/>
    <w:rsid w:val="007F5FC4"/>
    <w:rsid w:val="007F6391"/>
    <w:rsid w:val="007F640A"/>
    <w:rsid w:val="007F6A96"/>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B4"/>
    <w:rsid w:val="00802FF0"/>
    <w:rsid w:val="008030B0"/>
    <w:rsid w:val="00803787"/>
    <w:rsid w:val="00803BB2"/>
    <w:rsid w:val="00804DAC"/>
    <w:rsid w:val="008051AD"/>
    <w:rsid w:val="0080559C"/>
    <w:rsid w:val="00805B67"/>
    <w:rsid w:val="00805FE3"/>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2A"/>
    <w:rsid w:val="00810F9D"/>
    <w:rsid w:val="008111DB"/>
    <w:rsid w:val="00811228"/>
    <w:rsid w:val="00811553"/>
    <w:rsid w:val="00812320"/>
    <w:rsid w:val="008125C7"/>
    <w:rsid w:val="008127C1"/>
    <w:rsid w:val="0081280A"/>
    <w:rsid w:val="008128A5"/>
    <w:rsid w:val="0081298C"/>
    <w:rsid w:val="008129C1"/>
    <w:rsid w:val="00812AD7"/>
    <w:rsid w:val="00813679"/>
    <w:rsid w:val="00813A38"/>
    <w:rsid w:val="00813C5C"/>
    <w:rsid w:val="00813F1A"/>
    <w:rsid w:val="00814379"/>
    <w:rsid w:val="008144EA"/>
    <w:rsid w:val="00814AD4"/>
    <w:rsid w:val="00814BD6"/>
    <w:rsid w:val="00814C9A"/>
    <w:rsid w:val="00814DA3"/>
    <w:rsid w:val="00815065"/>
    <w:rsid w:val="008151D1"/>
    <w:rsid w:val="008152C9"/>
    <w:rsid w:val="008153F0"/>
    <w:rsid w:val="00815410"/>
    <w:rsid w:val="00815B35"/>
    <w:rsid w:val="00815F21"/>
    <w:rsid w:val="0081604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2B2"/>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0D8"/>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778"/>
    <w:rsid w:val="00845FA4"/>
    <w:rsid w:val="00846055"/>
    <w:rsid w:val="00846244"/>
    <w:rsid w:val="0084627F"/>
    <w:rsid w:val="008464F0"/>
    <w:rsid w:val="00846A26"/>
    <w:rsid w:val="00846AF9"/>
    <w:rsid w:val="00846BEB"/>
    <w:rsid w:val="00846DDF"/>
    <w:rsid w:val="00846FFB"/>
    <w:rsid w:val="008475CE"/>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2EE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3FB"/>
    <w:rsid w:val="0086683C"/>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4B"/>
    <w:rsid w:val="00876478"/>
    <w:rsid w:val="00876890"/>
    <w:rsid w:val="00876891"/>
    <w:rsid w:val="00876A3E"/>
    <w:rsid w:val="008772BE"/>
    <w:rsid w:val="008778EC"/>
    <w:rsid w:val="00877AC2"/>
    <w:rsid w:val="00880642"/>
    <w:rsid w:val="00880868"/>
    <w:rsid w:val="008808B6"/>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0E5F"/>
    <w:rsid w:val="00891181"/>
    <w:rsid w:val="00891718"/>
    <w:rsid w:val="00891857"/>
    <w:rsid w:val="00891E17"/>
    <w:rsid w:val="0089294A"/>
    <w:rsid w:val="00892CB2"/>
    <w:rsid w:val="00892DB1"/>
    <w:rsid w:val="00892E9B"/>
    <w:rsid w:val="00892EB4"/>
    <w:rsid w:val="00892F4C"/>
    <w:rsid w:val="008933D1"/>
    <w:rsid w:val="0089349B"/>
    <w:rsid w:val="0089374F"/>
    <w:rsid w:val="00893D10"/>
    <w:rsid w:val="00893DE9"/>
    <w:rsid w:val="0089410A"/>
    <w:rsid w:val="0089435F"/>
    <w:rsid w:val="008944D6"/>
    <w:rsid w:val="00894849"/>
    <w:rsid w:val="00894BAC"/>
    <w:rsid w:val="00894D56"/>
    <w:rsid w:val="008951A8"/>
    <w:rsid w:val="00895266"/>
    <w:rsid w:val="00895281"/>
    <w:rsid w:val="00895B37"/>
    <w:rsid w:val="0089602A"/>
    <w:rsid w:val="008968D7"/>
    <w:rsid w:val="00896CD1"/>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0C"/>
    <w:rsid w:val="008A3ADF"/>
    <w:rsid w:val="008A4577"/>
    <w:rsid w:val="008A4C71"/>
    <w:rsid w:val="008A5331"/>
    <w:rsid w:val="008A5E55"/>
    <w:rsid w:val="008A6263"/>
    <w:rsid w:val="008A62C8"/>
    <w:rsid w:val="008A63F6"/>
    <w:rsid w:val="008A6441"/>
    <w:rsid w:val="008A64E6"/>
    <w:rsid w:val="008A6640"/>
    <w:rsid w:val="008A6BAB"/>
    <w:rsid w:val="008A7873"/>
    <w:rsid w:val="008A7C56"/>
    <w:rsid w:val="008A7DE5"/>
    <w:rsid w:val="008B03AE"/>
    <w:rsid w:val="008B088A"/>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6A7"/>
    <w:rsid w:val="008C07ED"/>
    <w:rsid w:val="008C09AE"/>
    <w:rsid w:val="008C10DA"/>
    <w:rsid w:val="008C1284"/>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2CE"/>
    <w:rsid w:val="008D1AFD"/>
    <w:rsid w:val="008D1DC4"/>
    <w:rsid w:val="008D207A"/>
    <w:rsid w:val="008D2377"/>
    <w:rsid w:val="008D23C6"/>
    <w:rsid w:val="008D2C3F"/>
    <w:rsid w:val="008D30BB"/>
    <w:rsid w:val="008D31F1"/>
    <w:rsid w:val="008D3274"/>
    <w:rsid w:val="008D3567"/>
    <w:rsid w:val="008D35C3"/>
    <w:rsid w:val="008D369F"/>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2FA"/>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978"/>
    <w:rsid w:val="008E4BF6"/>
    <w:rsid w:val="008E51F4"/>
    <w:rsid w:val="008E5C71"/>
    <w:rsid w:val="008E6129"/>
    <w:rsid w:val="008E6247"/>
    <w:rsid w:val="008E664B"/>
    <w:rsid w:val="008E673F"/>
    <w:rsid w:val="008E6947"/>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895"/>
    <w:rsid w:val="008F4980"/>
    <w:rsid w:val="008F510B"/>
    <w:rsid w:val="008F51BA"/>
    <w:rsid w:val="008F532F"/>
    <w:rsid w:val="008F5914"/>
    <w:rsid w:val="008F59AF"/>
    <w:rsid w:val="008F5D3B"/>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23C"/>
    <w:rsid w:val="0091532A"/>
    <w:rsid w:val="00915401"/>
    <w:rsid w:val="00915511"/>
    <w:rsid w:val="009155A4"/>
    <w:rsid w:val="00915959"/>
    <w:rsid w:val="009159CA"/>
    <w:rsid w:val="00915CAD"/>
    <w:rsid w:val="00915EF2"/>
    <w:rsid w:val="00916363"/>
    <w:rsid w:val="0091649E"/>
    <w:rsid w:val="00916580"/>
    <w:rsid w:val="009165C8"/>
    <w:rsid w:val="009167A6"/>
    <w:rsid w:val="009168D9"/>
    <w:rsid w:val="009170B8"/>
    <w:rsid w:val="0091743F"/>
    <w:rsid w:val="00917A2C"/>
    <w:rsid w:val="00917AA0"/>
    <w:rsid w:val="00917F55"/>
    <w:rsid w:val="009205CD"/>
    <w:rsid w:val="00920AE6"/>
    <w:rsid w:val="00920B21"/>
    <w:rsid w:val="00920B63"/>
    <w:rsid w:val="009211CD"/>
    <w:rsid w:val="0092131F"/>
    <w:rsid w:val="00921502"/>
    <w:rsid w:val="00921695"/>
    <w:rsid w:val="00921BFD"/>
    <w:rsid w:val="00921CCE"/>
    <w:rsid w:val="00921D22"/>
    <w:rsid w:val="00921F63"/>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2"/>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A8D"/>
    <w:rsid w:val="00933B2F"/>
    <w:rsid w:val="00933B6C"/>
    <w:rsid w:val="00934019"/>
    <w:rsid w:val="009340B4"/>
    <w:rsid w:val="0093439C"/>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0D8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06"/>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CCC"/>
    <w:rsid w:val="00956ECF"/>
    <w:rsid w:val="009576CD"/>
    <w:rsid w:val="00957869"/>
    <w:rsid w:val="00960A12"/>
    <w:rsid w:val="00960BC2"/>
    <w:rsid w:val="00960BEB"/>
    <w:rsid w:val="00960C73"/>
    <w:rsid w:val="00960F28"/>
    <w:rsid w:val="00960FD8"/>
    <w:rsid w:val="009616E5"/>
    <w:rsid w:val="009618DC"/>
    <w:rsid w:val="0096199C"/>
    <w:rsid w:val="009628CF"/>
    <w:rsid w:val="00962B3B"/>
    <w:rsid w:val="0096307C"/>
    <w:rsid w:val="009633CD"/>
    <w:rsid w:val="0096346D"/>
    <w:rsid w:val="00963C74"/>
    <w:rsid w:val="00963EC5"/>
    <w:rsid w:val="009642A8"/>
    <w:rsid w:val="0096451C"/>
    <w:rsid w:val="0096453D"/>
    <w:rsid w:val="00964583"/>
    <w:rsid w:val="00964697"/>
    <w:rsid w:val="00965601"/>
    <w:rsid w:val="009656C5"/>
    <w:rsid w:val="00965DC9"/>
    <w:rsid w:val="00966431"/>
    <w:rsid w:val="00966CD8"/>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3E3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65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88B"/>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97F78"/>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651"/>
    <w:rsid w:val="009B08BF"/>
    <w:rsid w:val="009B08EE"/>
    <w:rsid w:val="009B0BE2"/>
    <w:rsid w:val="009B0C75"/>
    <w:rsid w:val="009B1343"/>
    <w:rsid w:val="009B138A"/>
    <w:rsid w:val="009B167F"/>
    <w:rsid w:val="009B1759"/>
    <w:rsid w:val="009B17EC"/>
    <w:rsid w:val="009B19BD"/>
    <w:rsid w:val="009B1ED4"/>
    <w:rsid w:val="009B204C"/>
    <w:rsid w:val="009B2757"/>
    <w:rsid w:val="009B2851"/>
    <w:rsid w:val="009B2C30"/>
    <w:rsid w:val="009B2DD8"/>
    <w:rsid w:val="009B2F9A"/>
    <w:rsid w:val="009B37FF"/>
    <w:rsid w:val="009B40D9"/>
    <w:rsid w:val="009B422B"/>
    <w:rsid w:val="009B4740"/>
    <w:rsid w:val="009B48FB"/>
    <w:rsid w:val="009B49AD"/>
    <w:rsid w:val="009B4C2D"/>
    <w:rsid w:val="009B4D50"/>
    <w:rsid w:val="009B4F55"/>
    <w:rsid w:val="009B4F61"/>
    <w:rsid w:val="009B58D1"/>
    <w:rsid w:val="009B59B0"/>
    <w:rsid w:val="009B5D1A"/>
    <w:rsid w:val="009B628F"/>
    <w:rsid w:val="009B6292"/>
    <w:rsid w:val="009B64EF"/>
    <w:rsid w:val="009B6573"/>
    <w:rsid w:val="009B660A"/>
    <w:rsid w:val="009B683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53A"/>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710"/>
    <w:rsid w:val="009E4B0B"/>
    <w:rsid w:val="009E501E"/>
    <w:rsid w:val="009E54BF"/>
    <w:rsid w:val="009E552F"/>
    <w:rsid w:val="009E5544"/>
    <w:rsid w:val="009E557B"/>
    <w:rsid w:val="009E55A0"/>
    <w:rsid w:val="009E55FB"/>
    <w:rsid w:val="009E5FE9"/>
    <w:rsid w:val="009E6334"/>
    <w:rsid w:val="009E6DDC"/>
    <w:rsid w:val="009E7198"/>
    <w:rsid w:val="009E76BC"/>
    <w:rsid w:val="009E7A42"/>
    <w:rsid w:val="009E7E34"/>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4FD8"/>
    <w:rsid w:val="009F55FC"/>
    <w:rsid w:val="009F570C"/>
    <w:rsid w:val="009F603A"/>
    <w:rsid w:val="009F63BA"/>
    <w:rsid w:val="009F6523"/>
    <w:rsid w:val="009F6649"/>
    <w:rsid w:val="009F6932"/>
    <w:rsid w:val="009F69ED"/>
    <w:rsid w:val="009F6B67"/>
    <w:rsid w:val="009F708B"/>
    <w:rsid w:val="009F7216"/>
    <w:rsid w:val="009F73B3"/>
    <w:rsid w:val="009F7497"/>
    <w:rsid w:val="009F7713"/>
    <w:rsid w:val="00A00189"/>
    <w:rsid w:val="00A00285"/>
    <w:rsid w:val="00A00386"/>
    <w:rsid w:val="00A00B50"/>
    <w:rsid w:val="00A00B99"/>
    <w:rsid w:val="00A00D91"/>
    <w:rsid w:val="00A00DD6"/>
    <w:rsid w:val="00A00E73"/>
    <w:rsid w:val="00A01429"/>
    <w:rsid w:val="00A016AD"/>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77"/>
    <w:rsid w:val="00A066C6"/>
    <w:rsid w:val="00A0728D"/>
    <w:rsid w:val="00A073AC"/>
    <w:rsid w:val="00A073B7"/>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27D"/>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BEB"/>
    <w:rsid w:val="00A21EEF"/>
    <w:rsid w:val="00A21F16"/>
    <w:rsid w:val="00A2240D"/>
    <w:rsid w:val="00A22865"/>
    <w:rsid w:val="00A2289E"/>
    <w:rsid w:val="00A22B40"/>
    <w:rsid w:val="00A22F3B"/>
    <w:rsid w:val="00A22F45"/>
    <w:rsid w:val="00A23000"/>
    <w:rsid w:val="00A235BD"/>
    <w:rsid w:val="00A2389E"/>
    <w:rsid w:val="00A23D27"/>
    <w:rsid w:val="00A23EB5"/>
    <w:rsid w:val="00A243AD"/>
    <w:rsid w:val="00A24673"/>
    <w:rsid w:val="00A248FC"/>
    <w:rsid w:val="00A24EF0"/>
    <w:rsid w:val="00A24EF6"/>
    <w:rsid w:val="00A25AE9"/>
    <w:rsid w:val="00A2621E"/>
    <w:rsid w:val="00A26453"/>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1ECC"/>
    <w:rsid w:val="00A32163"/>
    <w:rsid w:val="00A321A2"/>
    <w:rsid w:val="00A32719"/>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0C"/>
    <w:rsid w:val="00A470E4"/>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4DD"/>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9A0"/>
    <w:rsid w:val="00A61A34"/>
    <w:rsid w:val="00A61B41"/>
    <w:rsid w:val="00A61E45"/>
    <w:rsid w:val="00A61EF1"/>
    <w:rsid w:val="00A61F41"/>
    <w:rsid w:val="00A626B0"/>
    <w:rsid w:val="00A62BF6"/>
    <w:rsid w:val="00A62E3E"/>
    <w:rsid w:val="00A62E56"/>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BC6"/>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08A"/>
    <w:rsid w:val="00A9037E"/>
    <w:rsid w:val="00A903C8"/>
    <w:rsid w:val="00A9055E"/>
    <w:rsid w:val="00A90663"/>
    <w:rsid w:val="00A90863"/>
    <w:rsid w:val="00A90A49"/>
    <w:rsid w:val="00A90AA0"/>
    <w:rsid w:val="00A90BDB"/>
    <w:rsid w:val="00A90F19"/>
    <w:rsid w:val="00A911A5"/>
    <w:rsid w:val="00A9146F"/>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11C"/>
    <w:rsid w:val="00A9673B"/>
    <w:rsid w:val="00A968D8"/>
    <w:rsid w:val="00A96E48"/>
    <w:rsid w:val="00A96F73"/>
    <w:rsid w:val="00A97181"/>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7B9"/>
    <w:rsid w:val="00AA2A27"/>
    <w:rsid w:val="00AA33A9"/>
    <w:rsid w:val="00AA43E0"/>
    <w:rsid w:val="00AA45E7"/>
    <w:rsid w:val="00AA4705"/>
    <w:rsid w:val="00AA48F2"/>
    <w:rsid w:val="00AA490F"/>
    <w:rsid w:val="00AA4DC2"/>
    <w:rsid w:val="00AA4E03"/>
    <w:rsid w:val="00AA539D"/>
    <w:rsid w:val="00AA5422"/>
    <w:rsid w:val="00AA5A2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2B73"/>
    <w:rsid w:val="00AB316E"/>
    <w:rsid w:val="00AB35B2"/>
    <w:rsid w:val="00AB35B7"/>
    <w:rsid w:val="00AB4143"/>
    <w:rsid w:val="00AB467C"/>
    <w:rsid w:val="00AB488E"/>
    <w:rsid w:val="00AB4945"/>
    <w:rsid w:val="00AB4A58"/>
    <w:rsid w:val="00AB4C26"/>
    <w:rsid w:val="00AB4DCA"/>
    <w:rsid w:val="00AB4E65"/>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3AB"/>
    <w:rsid w:val="00AC6C3A"/>
    <w:rsid w:val="00AC6D33"/>
    <w:rsid w:val="00AC7012"/>
    <w:rsid w:val="00AC70DB"/>
    <w:rsid w:val="00AC782C"/>
    <w:rsid w:val="00AD024C"/>
    <w:rsid w:val="00AD02F6"/>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3D3E"/>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E3"/>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EF0"/>
    <w:rsid w:val="00AF7564"/>
    <w:rsid w:val="00AF79C5"/>
    <w:rsid w:val="00AF7B5D"/>
    <w:rsid w:val="00AF7EC1"/>
    <w:rsid w:val="00AF7FB0"/>
    <w:rsid w:val="00B0006B"/>
    <w:rsid w:val="00B005E3"/>
    <w:rsid w:val="00B00875"/>
    <w:rsid w:val="00B00FD7"/>
    <w:rsid w:val="00B012F2"/>
    <w:rsid w:val="00B0130A"/>
    <w:rsid w:val="00B01386"/>
    <w:rsid w:val="00B01816"/>
    <w:rsid w:val="00B01A8A"/>
    <w:rsid w:val="00B01C30"/>
    <w:rsid w:val="00B01C52"/>
    <w:rsid w:val="00B02225"/>
    <w:rsid w:val="00B02A49"/>
    <w:rsid w:val="00B03847"/>
    <w:rsid w:val="00B0389B"/>
    <w:rsid w:val="00B03CC2"/>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98D"/>
    <w:rsid w:val="00B07D3B"/>
    <w:rsid w:val="00B07F40"/>
    <w:rsid w:val="00B103BF"/>
    <w:rsid w:val="00B10523"/>
    <w:rsid w:val="00B10832"/>
    <w:rsid w:val="00B10B01"/>
    <w:rsid w:val="00B10CE7"/>
    <w:rsid w:val="00B10F50"/>
    <w:rsid w:val="00B1105B"/>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5EB3"/>
    <w:rsid w:val="00B161BB"/>
    <w:rsid w:val="00B1654A"/>
    <w:rsid w:val="00B1738A"/>
    <w:rsid w:val="00B174CA"/>
    <w:rsid w:val="00B17906"/>
    <w:rsid w:val="00B17944"/>
    <w:rsid w:val="00B17D70"/>
    <w:rsid w:val="00B17E7E"/>
    <w:rsid w:val="00B2023A"/>
    <w:rsid w:val="00B20433"/>
    <w:rsid w:val="00B2068B"/>
    <w:rsid w:val="00B20A3F"/>
    <w:rsid w:val="00B20AC8"/>
    <w:rsid w:val="00B20C4A"/>
    <w:rsid w:val="00B20CD1"/>
    <w:rsid w:val="00B21002"/>
    <w:rsid w:val="00B211BA"/>
    <w:rsid w:val="00B21256"/>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C80"/>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279"/>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163"/>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499"/>
    <w:rsid w:val="00B7658D"/>
    <w:rsid w:val="00B768BC"/>
    <w:rsid w:val="00B7698F"/>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20E"/>
    <w:rsid w:val="00B8139E"/>
    <w:rsid w:val="00B815E1"/>
    <w:rsid w:val="00B81794"/>
    <w:rsid w:val="00B81B68"/>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1A53"/>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21"/>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4F9F"/>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695"/>
    <w:rsid w:val="00BB47E5"/>
    <w:rsid w:val="00BB4A68"/>
    <w:rsid w:val="00BB4BB4"/>
    <w:rsid w:val="00BB5D8F"/>
    <w:rsid w:val="00BB5E43"/>
    <w:rsid w:val="00BB5FDA"/>
    <w:rsid w:val="00BB61A4"/>
    <w:rsid w:val="00BB6594"/>
    <w:rsid w:val="00BB697E"/>
    <w:rsid w:val="00BB6BE8"/>
    <w:rsid w:val="00BB6E24"/>
    <w:rsid w:val="00BB6E7D"/>
    <w:rsid w:val="00BB6F20"/>
    <w:rsid w:val="00BB711E"/>
    <w:rsid w:val="00BB72A8"/>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0B"/>
    <w:rsid w:val="00BC26E3"/>
    <w:rsid w:val="00BC2838"/>
    <w:rsid w:val="00BC2D06"/>
    <w:rsid w:val="00BC2E2D"/>
    <w:rsid w:val="00BC2F4F"/>
    <w:rsid w:val="00BC3756"/>
    <w:rsid w:val="00BC412B"/>
    <w:rsid w:val="00BC4194"/>
    <w:rsid w:val="00BC41DB"/>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D23"/>
    <w:rsid w:val="00BD1F0D"/>
    <w:rsid w:val="00BD213E"/>
    <w:rsid w:val="00BD22F8"/>
    <w:rsid w:val="00BD2697"/>
    <w:rsid w:val="00BD270E"/>
    <w:rsid w:val="00BD2961"/>
    <w:rsid w:val="00BD2D86"/>
    <w:rsid w:val="00BD2F28"/>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2E5"/>
    <w:rsid w:val="00BD6620"/>
    <w:rsid w:val="00BD6A5B"/>
    <w:rsid w:val="00BD6CBF"/>
    <w:rsid w:val="00BD7181"/>
    <w:rsid w:val="00BD7330"/>
    <w:rsid w:val="00BD748C"/>
    <w:rsid w:val="00BD755F"/>
    <w:rsid w:val="00BD76D8"/>
    <w:rsid w:val="00BD7AEA"/>
    <w:rsid w:val="00BD7FDD"/>
    <w:rsid w:val="00BD7FE0"/>
    <w:rsid w:val="00BE02E0"/>
    <w:rsid w:val="00BE0577"/>
    <w:rsid w:val="00BE05CE"/>
    <w:rsid w:val="00BE08F8"/>
    <w:rsid w:val="00BE0A3A"/>
    <w:rsid w:val="00BE0A6D"/>
    <w:rsid w:val="00BE105F"/>
    <w:rsid w:val="00BE10B7"/>
    <w:rsid w:val="00BE1176"/>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B67"/>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27"/>
    <w:rsid w:val="00C03CE4"/>
    <w:rsid w:val="00C03DBE"/>
    <w:rsid w:val="00C03E94"/>
    <w:rsid w:val="00C04709"/>
    <w:rsid w:val="00C0484B"/>
    <w:rsid w:val="00C04BCC"/>
    <w:rsid w:val="00C04C74"/>
    <w:rsid w:val="00C05631"/>
    <w:rsid w:val="00C0595A"/>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9DD"/>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4EA"/>
    <w:rsid w:val="00C41AFB"/>
    <w:rsid w:val="00C42065"/>
    <w:rsid w:val="00C420E5"/>
    <w:rsid w:val="00C42219"/>
    <w:rsid w:val="00C428EC"/>
    <w:rsid w:val="00C42E04"/>
    <w:rsid w:val="00C42FFC"/>
    <w:rsid w:val="00C432F5"/>
    <w:rsid w:val="00C43598"/>
    <w:rsid w:val="00C43982"/>
    <w:rsid w:val="00C43D7F"/>
    <w:rsid w:val="00C43E7A"/>
    <w:rsid w:val="00C44545"/>
    <w:rsid w:val="00C4460D"/>
    <w:rsid w:val="00C44BEE"/>
    <w:rsid w:val="00C44D7F"/>
    <w:rsid w:val="00C44F11"/>
    <w:rsid w:val="00C45183"/>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B7F"/>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80F"/>
    <w:rsid w:val="00C5507E"/>
    <w:rsid w:val="00C5541A"/>
    <w:rsid w:val="00C55616"/>
    <w:rsid w:val="00C559E4"/>
    <w:rsid w:val="00C55B6B"/>
    <w:rsid w:val="00C55BEF"/>
    <w:rsid w:val="00C5637E"/>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6A6"/>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49CC"/>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7FB"/>
    <w:rsid w:val="00C7082E"/>
    <w:rsid w:val="00C70C85"/>
    <w:rsid w:val="00C718D5"/>
    <w:rsid w:val="00C71E7D"/>
    <w:rsid w:val="00C71F6E"/>
    <w:rsid w:val="00C72188"/>
    <w:rsid w:val="00C72A78"/>
    <w:rsid w:val="00C72E43"/>
    <w:rsid w:val="00C72F5C"/>
    <w:rsid w:val="00C731E4"/>
    <w:rsid w:val="00C735FC"/>
    <w:rsid w:val="00C7377E"/>
    <w:rsid w:val="00C73F1E"/>
    <w:rsid w:val="00C741A5"/>
    <w:rsid w:val="00C74319"/>
    <w:rsid w:val="00C74772"/>
    <w:rsid w:val="00C747CA"/>
    <w:rsid w:val="00C748FD"/>
    <w:rsid w:val="00C74B8B"/>
    <w:rsid w:val="00C74BE1"/>
    <w:rsid w:val="00C74C81"/>
    <w:rsid w:val="00C74E80"/>
    <w:rsid w:val="00C754A8"/>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2E7"/>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3BB"/>
    <w:rsid w:val="00CA0535"/>
    <w:rsid w:val="00CA0836"/>
    <w:rsid w:val="00CA09C2"/>
    <w:rsid w:val="00CA0B50"/>
    <w:rsid w:val="00CA1119"/>
    <w:rsid w:val="00CA1169"/>
    <w:rsid w:val="00CA149D"/>
    <w:rsid w:val="00CA14E0"/>
    <w:rsid w:val="00CA186F"/>
    <w:rsid w:val="00CA1CDE"/>
    <w:rsid w:val="00CA1E61"/>
    <w:rsid w:val="00CA2DE4"/>
    <w:rsid w:val="00CA2EE6"/>
    <w:rsid w:val="00CA347E"/>
    <w:rsid w:val="00CA3970"/>
    <w:rsid w:val="00CA3A0B"/>
    <w:rsid w:val="00CA3B63"/>
    <w:rsid w:val="00CA3F59"/>
    <w:rsid w:val="00CA406D"/>
    <w:rsid w:val="00CA40ED"/>
    <w:rsid w:val="00CA417C"/>
    <w:rsid w:val="00CA4220"/>
    <w:rsid w:val="00CA4D0D"/>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797"/>
    <w:rsid w:val="00CB3BC7"/>
    <w:rsid w:val="00CB3E8A"/>
    <w:rsid w:val="00CB4059"/>
    <w:rsid w:val="00CB42F3"/>
    <w:rsid w:val="00CB43FF"/>
    <w:rsid w:val="00CB442E"/>
    <w:rsid w:val="00CB44D3"/>
    <w:rsid w:val="00CB46B1"/>
    <w:rsid w:val="00CB4A90"/>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4AE"/>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56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884"/>
    <w:rsid w:val="00CE7970"/>
    <w:rsid w:val="00CE7BE2"/>
    <w:rsid w:val="00CE7F91"/>
    <w:rsid w:val="00CF00DE"/>
    <w:rsid w:val="00CF010A"/>
    <w:rsid w:val="00CF0384"/>
    <w:rsid w:val="00CF084E"/>
    <w:rsid w:val="00CF0D80"/>
    <w:rsid w:val="00CF15AF"/>
    <w:rsid w:val="00CF16C1"/>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6C"/>
    <w:rsid w:val="00D00976"/>
    <w:rsid w:val="00D00E0A"/>
    <w:rsid w:val="00D00F06"/>
    <w:rsid w:val="00D0177D"/>
    <w:rsid w:val="00D01793"/>
    <w:rsid w:val="00D02016"/>
    <w:rsid w:val="00D02BE9"/>
    <w:rsid w:val="00D03100"/>
    <w:rsid w:val="00D03339"/>
    <w:rsid w:val="00D03435"/>
    <w:rsid w:val="00D03913"/>
    <w:rsid w:val="00D03AD5"/>
    <w:rsid w:val="00D03F5F"/>
    <w:rsid w:val="00D03F8F"/>
    <w:rsid w:val="00D04054"/>
    <w:rsid w:val="00D04218"/>
    <w:rsid w:val="00D043E8"/>
    <w:rsid w:val="00D04764"/>
    <w:rsid w:val="00D048EF"/>
    <w:rsid w:val="00D04A90"/>
    <w:rsid w:val="00D04DDA"/>
    <w:rsid w:val="00D04F1F"/>
    <w:rsid w:val="00D04F2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171"/>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304"/>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601"/>
    <w:rsid w:val="00D257DC"/>
    <w:rsid w:val="00D25B1E"/>
    <w:rsid w:val="00D25DCA"/>
    <w:rsid w:val="00D2613F"/>
    <w:rsid w:val="00D26246"/>
    <w:rsid w:val="00D263D5"/>
    <w:rsid w:val="00D26419"/>
    <w:rsid w:val="00D264C6"/>
    <w:rsid w:val="00D2690D"/>
    <w:rsid w:val="00D26C98"/>
    <w:rsid w:val="00D27054"/>
    <w:rsid w:val="00D273DE"/>
    <w:rsid w:val="00D27551"/>
    <w:rsid w:val="00D278F7"/>
    <w:rsid w:val="00D27ABA"/>
    <w:rsid w:val="00D27DCE"/>
    <w:rsid w:val="00D3004C"/>
    <w:rsid w:val="00D300B3"/>
    <w:rsid w:val="00D30B61"/>
    <w:rsid w:val="00D310AA"/>
    <w:rsid w:val="00D31226"/>
    <w:rsid w:val="00D31523"/>
    <w:rsid w:val="00D31621"/>
    <w:rsid w:val="00D31B44"/>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708"/>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44A"/>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661"/>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BF7"/>
    <w:rsid w:val="00D77D60"/>
    <w:rsid w:val="00D8022C"/>
    <w:rsid w:val="00D80254"/>
    <w:rsid w:val="00D80313"/>
    <w:rsid w:val="00D803B4"/>
    <w:rsid w:val="00D809E6"/>
    <w:rsid w:val="00D80DC2"/>
    <w:rsid w:val="00D80E7F"/>
    <w:rsid w:val="00D80FDA"/>
    <w:rsid w:val="00D81054"/>
    <w:rsid w:val="00D8117F"/>
    <w:rsid w:val="00D81802"/>
    <w:rsid w:val="00D81980"/>
    <w:rsid w:val="00D81ECB"/>
    <w:rsid w:val="00D81FF1"/>
    <w:rsid w:val="00D8201F"/>
    <w:rsid w:val="00D820F1"/>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A0"/>
    <w:rsid w:val="00D83AFA"/>
    <w:rsid w:val="00D83D75"/>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BD2"/>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734"/>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1F"/>
    <w:rsid w:val="00DA412A"/>
    <w:rsid w:val="00DA4590"/>
    <w:rsid w:val="00DA45AC"/>
    <w:rsid w:val="00DA4A98"/>
    <w:rsid w:val="00DA4AAC"/>
    <w:rsid w:val="00DA532E"/>
    <w:rsid w:val="00DA547A"/>
    <w:rsid w:val="00DA564D"/>
    <w:rsid w:val="00DA5827"/>
    <w:rsid w:val="00DA5AB0"/>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735"/>
    <w:rsid w:val="00DC3E40"/>
    <w:rsid w:val="00DC4579"/>
    <w:rsid w:val="00DC4ACC"/>
    <w:rsid w:val="00DC4B9B"/>
    <w:rsid w:val="00DC4D9D"/>
    <w:rsid w:val="00DC52DF"/>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2DCE"/>
    <w:rsid w:val="00DD3171"/>
    <w:rsid w:val="00DD373E"/>
    <w:rsid w:val="00DD3C9F"/>
    <w:rsid w:val="00DD3FEE"/>
    <w:rsid w:val="00DD4427"/>
    <w:rsid w:val="00DD469E"/>
    <w:rsid w:val="00DD48C7"/>
    <w:rsid w:val="00DD48D9"/>
    <w:rsid w:val="00DD4904"/>
    <w:rsid w:val="00DD4B69"/>
    <w:rsid w:val="00DD5910"/>
    <w:rsid w:val="00DD591D"/>
    <w:rsid w:val="00DD5EB7"/>
    <w:rsid w:val="00DD6291"/>
    <w:rsid w:val="00DD65E2"/>
    <w:rsid w:val="00DD6734"/>
    <w:rsid w:val="00DD68C2"/>
    <w:rsid w:val="00DD6CCC"/>
    <w:rsid w:val="00DD7077"/>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0C5"/>
    <w:rsid w:val="00DF048E"/>
    <w:rsid w:val="00DF0975"/>
    <w:rsid w:val="00DF09D0"/>
    <w:rsid w:val="00DF0AFF"/>
    <w:rsid w:val="00DF0D8D"/>
    <w:rsid w:val="00DF0EF9"/>
    <w:rsid w:val="00DF0F9E"/>
    <w:rsid w:val="00DF0FAF"/>
    <w:rsid w:val="00DF111A"/>
    <w:rsid w:val="00DF1281"/>
    <w:rsid w:val="00DF1286"/>
    <w:rsid w:val="00DF14EB"/>
    <w:rsid w:val="00DF1574"/>
    <w:rsid w:val="00DF1835"/>
    <w:rsid w:val="00DF197A"/>
    <w:rsid w:val="00DF199B"/>
    <w:rsid w:val="00DF1D10"/>
    <w:rsid w:val="00DF1E2D"/>
    <w:rsid w:val="00DF1E56"/>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4F6"/>
    <w:rsid w:val="00E027B9"/>
    <w:rsid w:val="00E02866"/>
    <w:rsid w:val="00E02B34"/>
    <w:rsid w:val="00E02C4E"/>
    <w:rsid w:val="00E02DFC"/>
    <w:rsid w:val="00E035A8"/>
    <w:rsid w:val="00E03755"/>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BC3"/>
    <w:rsid w:val="00E07C33"/>
    <w:rsid w:val="00E10173"/>
    <w:rsid w:val="00E10343"/>
    <w:rsid w:val="00E1044D"/>
    <w:rsid w:val="00E10636"/>
    <w:rsid w:val="00E107B7"/>
    <w:rsid w:val="00E10A17"/>
    <w:rsid w:val="00E111C7"/>
    <w:rsid w:val="00E116FD"/>
    <w:rsid w:val="00E11966"/>
    <w:rsid w:val="00E12206"/>
    <w:rsid w:val="00E1229C"/>
    <w:rsid w:val="00E125E3"/>
    <w:rsid w:val="00E13441"/>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7A5"/>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767"/>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AE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876"/>
    <w:rsid w:val="00E45A4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53"/>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2F31"/>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4E1"/>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BB4"/>
    <w:rsid w:val="00E76E01"/>
    <w:rsid w:val="00E77023"/>
    <w:rsid w:val="00E77025"/>
    <w:rsid w:val="00E7743B"/>
    <w:rsid w:val="00E77469"/>
    <w:rsid w:val="00E77568"/>
    <w:rsid w:val="00E77A2A"/>
    <w:rsid w:val="00E8023E"/>
    <w:rsid w:val="00E80295"/>
    <w:rsid w:val="00E80728"/>
    <w:rsid w:val="00E8077B"/>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0E70"/>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6"/>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3EC6"/>
    <w:rsid w:val="00ED443E"/>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7FF"/>
    <w:rsid w:val="00EE2890"/>
    <w:rsid w:val="00EE2E8F"/>
    <w:rsid w:val="00EE2ED9"/>
    <w:rsid w:val="00EE3342"/>
    <w:rsid w:val="00EE38E7"/>
    <w:rsid w:val="00EE3FD2"/>
    <w:rsid w:val="00EE496E"/>
    <w:rsid w:val="00EE49AF"/>
    <w:rsid w:val="00EE52C8"/>
    <w:rsid w:val="00EE53DA"/>
    <w:rsid w:val="00EE5A0B"/>
    <w:rsid w:val="00EE5A1C"/>
    <w:rsid w:val="00EE5AB7"/>
    <w:rsid w:val="00EE622E"/>
    <w:rsid w:val="00EE6630"/>
    <w:rsid w:val="00EE6981"/>
    <w:rsid w:val="00EE6C0A"/>
    <w:rsid w:val="00EE6E68"/>
    <w:rsid w:val="00EE7336"/>
    <w:rsid w:val="00EE7DA3"/>
    <w:rsid w:val="00EE7DDC"/>
    <w:rsid w:val="00EE7F20"/>
    <w:rsid w:val="00EF0BCE"/>
    <w:rsid w:val="00EF0C54"/>
    <w:rsid w:val="00EF0C95"/>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47C"/>
    <w:rsid w:val="00EF55FC"/>
    <w:rsid w:val="00EF5869"/>
    <w:rsid w:val="00EF5959"/>
    <w:rsid w:val="00EF5C36"/>
    <w:rsid w:val="00EF5F3B"/>
    <w:rsid w:val="00EF5F75"/>
    <w:rsid w:val="00EF6685"/>
    <w:rsid w:val="00EF6878"/>
    <w:rsid w:val="00EF7416"/>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596"/>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490"/>
    <w:rsid w:val="00F12617"/>
    <w:rsid w:val="00F12889"/>
    <w:rsid w:val="00F128A1"/>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BFE"/>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4B6"/>
    <w:rsid w:val="00F326B6"/>
    <w:rsid w:val="00F32A0A"/>
    <w:rsid w:val="00F32C8F"/>
    <w:rsid w:val="00F334AA"/>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06D"/>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92"/>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2C4"/>
    <w:rsid w:val="00F618CD"/>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0BC"/>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09B"/>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0A1"/>
    <w:rsid w:val="00F87360"/>
    <w:rsid w:val="00F8748B"/>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7B8"/>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22D"/>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0AB"/>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4E0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5E9"/>
    <w:rsid w:val="00FE28D1"/>
    <w:rsid w:val="00FE2A0D"/>
    <w:rsid w:val="00FE2DB8"/>
    <w:rsid w:val="00FE2E74"/>
    <w:rsid w:val="00FE2ED8"/>
    <w:rsid w:val="00FE2FB8"/>
    <w:rsid w:val="00FE3123"/>
    <w:rsid w:val="00FE320F"/>
    <w:rsid w:val="00FE3327"/>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BA1"/>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25"/>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D25601"/>
    <w:pPr>
      <w:numPr>
        <w:numId w:val="1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25601"/>
    <w:rPr>
      <w:rFonts w:ascii="Times New Roman" w:eastAsia="SimSun" w:hAnsi="Times New Roman"/>
      <w:lang w:eastAsia="zh-CN"/>
    </w:rPr>
  </w:style>
  <w:style w:type="table" w:styleId="GridTable1Light">
    <w:name w:val="Grid Table 1 Light"/>
    <w:basedOn w:val="TableNormal"/>
    <w:uiPriority w:val="46"/>
    <w:rsid w:val="00667B8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CharChar">
    <w:name w:val="TAL Char Char"/>
    <w:basedOn w:val="Normal"/>
    <w:rsid w:val="00E34767"/>
    <w:pPr>
      <w:keepNext/>
      <w:overflowPunct w:val="0"/>
      <w:autoSpaceDE w:val="0"/>
      <w:autoSpaceDN w:val="0"/>
      <w:spacing w:after="0"/>
    </w:pPr>
    <w:rPr>
      <w:rFonts w:ascii="Arial" w:eastAsia="MS PGothic" w:hAnsi="Arial" w:cs="Arial"/>
      <w:sz w:val="18"/>
      <w:szCs w:val="18"/>
      <w:lang w:val="en-US" w:eastAsia="ja-JP"/>
    </w:rPr>
  </w:style>
  <w:style w:type="character" w:customStyle="1" w:styleId="CaptionChar">
    <w:name w:val="Caption Char"/>
    <w:aliases w:val="cap Char"/>
    <w:basedOn w:val="DefaultParagraphFont"/>
    <w:link w:val="Caption"/>
    <w:locked/>
    <w:rsid w:val="003724AB"/>
    <w:rPr>
      <w:rFonts w:ascii="Times New Roman" w:hAnsi="Times New Roman"/>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724A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9887">
      <w:bodyDiv w:val="1"/>
      <w:marLeft w:val="0"/>
      <w:marRight w:val="0"/>
      <w:marTop w:val="0"/>
      <w:marBottom w:val="0"/>
      <w:divBdr>
        <w:top w:val="none" w:sz="0" w:space="0" w:color="auto"/>
        <w:left w:val="none" w:sz="0" w:space="0" w:color="auto"/>
        <w:bottom w:val="none" w:sz="0" w:space="0" w:color="auto"/>
        <w:right w:val="none" w:sz="0" w:space="0" w:color="auto"/>
      </w:divBdr>
      <w:divsChild>
        <w:div w:id="1911771141">
          <w:marLeft w:val="0"/>
          <w:marRight w:val="0"/>
          <w:marTop w:val="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5493403">
      <w:bodyDiv w:val="1"/>
      <w:marLeft w:val="0"/>
      <w:marRight w:val="0"/>
      <w:marTop w:val="0"/>
      <w:marBottom w:val="0"/>
      <w:divBdr>
        <w:top w:val="none" w:sz="0" w:space="0" w:color="auto"/>
        <w:left w:val="none" w:sz="0" w:space="0" w:color="auto"/>
        <w:bottom w:val="none" w:sz="0" w:space="0" w:color="auto"/>
        <w:right w:val="none" w:sz="0" w:space="0" w:color="auto"/>
      </w:divBdr>
      <w:divsChild>
        <w:div w:id="826822602">
          <w:marLeft w:val="360"/>
          <w:marRight w:val="0"/>
          <w:marTop w:val="200"/>
          <w:marBottom w:val="0"/>
          <w:divBdr>
            <w:top w:val="none" w:sz="0" w:space="0" w:color="auto"/>
            <w:left w:val="none" w:sz="0" w:space="0" w:color="auto"/>
            <w:bottom w:val="none" w:sz="0" w:space="0" w:color="auto"/>
            <w:right w:val="none" w:sz="0" w:space="0" w:color="auto"/>
          </w:divBdr>
        </w:div>
        <w:div w:id="51464895">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1307739">
      <w:bodyDiv w:val="1"/>
      <w:marLeft w:val="0"/>
      <w:marRight w:val="0"/>
      <w:marTop w:val="0"/>
      <w:marBottom w:val="0"/>
      <w:divBdr>
        <w:top w:val="none" w:sz="0" w:space="0" w:color="auto"/>
        <w:left w:val="none" w:sz="0" w:space="0" w:color="auto"/>
        <w:bottom w:val="none" w:sz="0" w:space="0" w:color="auto"/>
        <w:right w:val="none" w:sz="0" w:space="0" w:color="auto"/>
      </w:divBdr>
      <w:divsChild>
        <w:div w:id="248082952">
          <w:marLeft w:val="360"/>
          <w:marRight w:val="0"/>
          <w:marTop w:val="200"/>
          <w:marBottom w:val="0"/>
          <w:divBdr>
            <w:top w:val="none" w:sz="0" w:space="0" w:color="auto"/>
            <w:left w:val="none" w:sz="0" w:space="0" w:color="auto"/>
            <w:bottom w:val="none" w:sz="0" w:space="0" w:color="auto"/>
            <w:right w:val="none" w:sz="0" w:space="0" w:color="auto"/>
          </w:divBdr>
        </w:div>
        <w:div w:id="1865629686">
          <w:marLeft w:val="360"/>
          <w:marRight w:val="0"/>
          <w:marTop w:val="200"/>
          <w:marBottom w:val="0"/>
          <w:divBdr>
            <w:top w:val="none" w:sz="0" w:space="0" w:color="auto"/>
            <w:left w:val="none" w:sz="0" w:space="0" w:color="auto"/>
            <w:bottom w:val="none" w:sz="0" w:space="0" w:color="auto"/>
            <w:right w:val="none" w:sz="0" w:space="0" w:color="auto"/>
          </w:divBdr>
        </w:div>
        <w:div w:id="1714382770">
          <w:marLeft w:val="1080"/>
          <w:marRight w:val="0"/>
          <w:marTop w:val="100"/>
          <w:marBottom w:val="0"/>
          <w:divBdr>
            <w:top w:val="none" w:sz="0" w:space="0" w:color="auto"/>
            <w:left w:val="none" w:sz="0" w:space="0" w:color="auto"/>
            <w:bottom w:val="none" w:sz="0" w:space="0" w:color="auto"/>
            <w:right w:val="none" w:sz="0" w:space="0" w:color="auto"/>
          </w:divBdr>
        </w:div>
        <w:div w:id="2117941580">
          <w:marLeft w:val="1080"/>
          <w:marRight w:val="0"/>
          <w:marTop w:val="100"/>
          <w:marBottom w:val="0"/>
          <w:divBdr>
            <w:top w:val="none" w:sz="0" w:space="0" w:color="auto"/>
            <w:left w:val="none" w:sz="0" w:space="0" w:color="auto"/>
            <w:bottom w:val="none" w:sz="0" w:space="0" w:color="auto"/>
            <w:right w:val="none" w:sz="0" w:space="0" w:color="auto"/>
          </w:divBdr>
        </w:div>
        <w:div w:id="2121366260">
          <w:marLeft w:val="1080"/>
          <w:marRight w:val="0"/>
          <w:marTop w:val="100"/>
          <w:marBottom w:val="0"/>
          <w:divBdr>
            <w:top w:val="none" w:sz="0" w:space="0" w:color="auto"/>
            <w:left w:val="none" w:sz="0" w:space="0" w:color="auto"/>
            <w:bottom w:val="none" w:sz="0" w:space="0" w:color="auto"/>
            <w:right w:val="none" w:sz="0" w:space="0" w:color="auto"/>
          </w:divBdr>
        </w:div>
        <w:div w:id="1857229353">
          <w:marLeft w:val="1800"/>
          <w:marRight w:val="0"/>
          <w:marTop w:val="100"/>
          <w:marBottom w:val="0"/>
          <w:divBdr>
            <w:top w:val="none" w:sz="0" w:space="0" w:color="auto"/>
            <w:left w:val="none" w:sz="0" w:space="0" w:color="auto"/>
            <w:bottom w:val="none" w:sz="0" w:space="0" w:color="auto"/>
            <w:right w:val="none" w:sz="0" w:space="0" w:color="auto"/>
          </w:divBdr>
        </w:div>
        <w:div w:id="1975862648">
          <w:marLeft w:val="1080"/>
          <w:marRight w:val="0"/>
          <w:marTop w:val="100"/>
          <w:marBottom w:val="0"/>
          <w:divBdr>
            <w:top w:val="none" w:sz="0" w:space="0" w:color="auto"/>
            <w:left w:val="none" w:sz="0" w:space="0" w:color="auto"/>
            <w:bottom w:val="none" w:sz="0" w:space="0" w:color="auto"/>
            <w:right w:val="none" w:sz="0" w:space="0" w:color="auto"/>
          </w:divBdr>
        </w:div>
        <w:div w:id="1605382327">
          <w:marLeft w:val="1080"/>
          <w:marRight w:val="0"/>
          <w:marTop w:val="100"/>
          <w:marBottom w:val="0"/>
          <w:divBdr>
            <w:top w:val="none" w:sz="0" w:space="0" w:color="auto"/>
            <w:left w:val="none" w:sz="0" w:space="0" w:color="auto"/>
            <w:bottom w:val="none" w:sz="0" w:space="0" w:color="auto"/>
            <w:right w:val="none" w:sz="0" w:space="0" w:color="auto"/>
          </w:divBdr>
        </w:div>
        <w:div w:id="205064839">
          <w:marLeft w:val="1800"/>
          <w:marRight w:val="0"/>
          <w:marTop w:val="100"/>
          <w:marBottom w:val="0"/>
          <w:divBdr>
            <w:top w:val="none" w:sz="0" w:space="0" w:color="auto"/>
            <w:left w:val="none" w:sz="0" w:space="0" w:color="auto"/>
            <w:bottom w:val="none" w:sz="0" w:space="0" w:color="auto"/>
            <w:right w:val="none" w:sz="0" w:space="0" w:color="auto"/>
          </w:divBdr>
        </w:div>
        <w:div w:id="423722924">
          <w:marLeft w:val="2520"/>
          <w:marRight w:val="0"/>
          <w:marTop w:val="100"/>
          <w:marBottom w:val="0"/>
          <w:divBdr>
            <w:top w:val="none" w:sz="0" w:space="0" w:color="auto"/>
            <w:left w:val="none" w:sz="0" w:space="0" w:color="auto"/>
            <w:bottom w:val="none" w:sz="0" w:space="0" w:color="auto"/>
            <w:right w:val="none" w:sz="0" w:space="0" w:color="auto"/>
          </w:divBdr>
        </w:div>
        <w:div w:id="855662">
          <w:marLeft w:val="1800"/>
          <w:marRight w:val="0"/>
          <w:marTop w:val="100"/>
          <w:marBottom w:val="0"/>
          <w:divBdr>
            <w:top w:val="none" w:sz="0" w:space="0" w:color="auto"/>
            <w:left w:val="none" w:sz="0" w:space="0" w:color="auto"/>
            <w:bottom w:val="none" w:sz="0" w:space="0" w:color="auto"/>
            <w:right w:val="none" w:sz="0" w:space="0" w:color="auto"/>
          </w:divBdr>
        </w:div>
        <w:div w:id="408114411">
          <w:marLeft w:val="1800"/>
          <w:marRight w:val="0"/>
          <w:marTop w:val="100"/>
          <w:marBottom w:val="0"/>
          <w:divBdr>
            <w:top w:val="none" w:sz="0" w:space="0" w:color="auto"/>
            <w:left w:val="none" w:sz="0" w:space="0" w:color="auto"/>
            <w:bottom w:val="none" w:sz="0" w:space="0" w:color="auto"/>
            <w:right w:val="none" w:sz="0" w:space="0" w:color="auto"/>
          </w:divBdr>
        </w:div>
        <w:div w:id="1865946989">
          <w:marLeft w:val="1080"/>
          <w:marRight w:val="0"/>
          <w:marTop w:val="1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1883065">
      <w:bodyDiv w:val="1"/>
      <w:marLeft w:val="0"/>
      <w:marRight w:val="0"/>
      <w:marTop w:val="0"/>
      <w:marBottom w:val="0"/>
      <w:divBdr>
        <w:top w:val="none" w:sz="0" w:space="0" w:color="auto"/>
        <w:left w:val="none" w:sz="0" w:space="0" w:color="auto"/>
        <w:bottom w:val="none" w:sz="0" w:space="0" w:color="auto"/>
        <w:right w:val="none" w:sz="0" w:space="0" w:color="auto"/>
      </w:divBdr>
      <w:divsChild>
        <w:div w:id="1315525401">
          <w:marLeft w:val="360"/>
          <w:marRight w:val="0"/>
          <w:marTop w:val="200"/>
          <w:marBottom w:val="0"/>
          <w:divBdr>
            <w:top w:val="none" w:sz="0" w:space="0" w:color="auto"/>
            <w:left w:val="none" w:sz="0" w:space="0" w:color="auto"/>
            <w:bottom w:val="none" w:sz="0" w:space="0" w:color="auto"/>
            <w:right w:val="none" w:sz="0" w:space="0" w:color="auto"/>
          </w:divBdr>
        </w:div>
        <w:div w:id="742601917">
          <w:marLeft w:val="1080"/>
          <w:marRight w:val="0"/>
          <w:marTop w:val="100"/>
          <w:marBottom w:val="0"/>
          <w:divBdr>
            <w:top w:val="none" w:sz="0" w:space="0" w:color="auto"/>
            <w:left w:val="none" w:sz="0" w:space="0" w:color="auto"/>
            <w:bottom w:val="none" w:sz="0" w:space="0" w:color="auto"/>
            <w:right w:val="none" w:sz="0" w:space="0" w:color="auto"/>
          </w:divBdr>
        </w:div>
        <w:div w:id="2134902705">
          <w:marLeft w:val="1080"/>
          <w:marRight w:val="0"/>
          <w:marTop w:val="100"/>
          <w:marBottom w:val="0"/>
          <w:divBdr>
            <w:top w:val="none" w:sz="0" w:space="0" w:color="auto"/>
            <w:left w:val="none" w:sz="0" w:space="0" w:color="auto"/>
            <w:bottom w:val="none" w:sz="0" w:space="0" w:color="auto"/>
            <w:right w:val="none" w:sz="0" w:space="0" w:color="auto"/>
          </w:divBdr>
        </w:div>
        <w:div w:id="1597791679">
          <w:marLeft w:val="1080"/>
          <w:marRight w:val="0"/>
          <w:marTop w:val="100"/>
          <w:marBottom w:val="0"/>
          <w:divBdr>
            <w:top w:val="none" w:sz="0" w:space="0" w:color="auto"/>
            <w:left w:val="none" w:sz="0" w:space="0" w:color="auto"/>
            <w:bottom w:val="none" w:sz="0" w:space="0" w:color="auto"/>
            <w:right w:val="none" w:sz="0" w:space="0" w:color="auto"/>
          </w:divBdr>
        </w:div>
        <w:div w:id="495146728">
          <w:marLeft w:val="1800"/>
          <w:marRight w:val="0"/>
          <w:marTop w:val="100"/>
          <w:marBottom w:val="0"/>
          <w:divBdr>
            <w:top w:val="none" w:sz="0" w:space="0" w:color="auto"/>
            <w:left w:val="none" w:sz="0" w:space="0" w:color="auto"/>
            <w:bottom w:val="none" w:sz="0" w:space="0" w:color="auto"/>
            <w:right w:val="none" w:sz="0" w:space="0" w:color="auto"/>
          </w:divBdr>
        </w:div>
        <w:div w:id="1115517963">
          <w:marLeft w:val="1800"/>
          <w:marRight w:val="0"/>
          <w:marTop w:val="100"/>
          <w:marBottom w:val="0"/>
          <w:divBdr>
            <w:top w:val="none" w:sz="0" w:space="0" w:color="auto"/>
            <w:left w:val="none" w:sz="0" w:space="0" w:color="auto"/>
            <w:bottom w:val="none" w:sz="0" w:space="0" w:color="auto"/>
            <w:right w:val="none" w:sz="0" w:space="0" w:color="auto"/>
          </w:divBdr>
        </w:div>
        <w:div w:id="777990035">
          <w:marLeft w:val="1080"/>
          <w:marRight w:val="0"/>
          <w:marTop w:val="100"/>
          <w:marBottom w:val="0"/>
          <w:divBdr>
            <w:top w:val="none" w:sz="0" w:space="0" w:color="auto"/>
            <w:left w:val="none" w:sz="0" w:space="0" w:color="auto"/>
            <w:bottom w:val="none" w:sz="0" w:space="0" w:color="auto"/>
            <w:right w:val="none" w:sz="0" w:space="0" w:color="auto"/>
          </w:divBdr>
        </w:div>
      </w:divsChild>
    </w:div>
    <w:div w:id="1036393358">
      <w:bodyDiv w:val="1"/>
      <w:marLeft w:val="0"/>
      <w:marRight w:val="0"/>
      <w:marTop w:val="0"/>
      <w:marBottom w:val="0"/>
      <w:divBdr>
        <w:top w:val="none" w:sz="0" w:space="0" w:color="auto"/>
        <w:left w:val="none" w:sz="0" w:space="0" w:color="auto"/>
        <w:bottom w:val="none" w:sz="0" w:space="0" w:color="auto"/>
        <w:right w:val="none" w:sz="0" w:space="0" w:color="auto"/>
      </w:divBdr>
      <w:divsChild>
        <w:div w:id="1895896081">
          <w:marLeft w:val="360"/>
          <w:marRight w:val="0"/>
          <w:marTop w:val="200"/>
          <w:marBottom w:val="0"/>
          <w:divBdr>
            <w:top w:val="none" w:sz="0" w:space="0" w:color="auto"/>
            <w:left w:val="none" w:sz="0" w:space="0" w:color="auto"/>
            <w:bottom w:val="none" w:sz="0" w:space="0" w:color="auto"/>
            <w:right w:val="none" w:sz="0" w:space="0" w:color="auto"/>
          </w:divBdr>
        </w:div>
        <w:div w:id="263467647">
          <w:marLeft w:val="360"/>
          <w:marRight w:val="0"/>
          <w:marTop w:val="2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925686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189945">
      <w:bodyDiv w:val="1"/>
      <w:marLeft w:val="0"/>
      <w:marRight w:val="0"/>
      <w:marTop w:val="0"/>
      <w:marBottom w:val="0"/>
      <w:divBdr>
        <w:top w:val="none" w:sz="0" w:space="0" w:color="auto"/>
        <w:left w:val="none" w:sz="0" w:space="0" w:color="auto"/>
        <w:bottom w:val="none" w:sz="0" w:space="0" w:color="auto"/>
        <w:right w:val="none" w:sz="0" w:space="0" w:color="auto"/>
      </w:divBdr>
      <w:divsChild>
        <w:div w:id="194195564">
          <w:marLeft w:val="360"/>
          <w:marRight w:val="0"/>
          <w:marTop w:val="200"/>
          <w:marBottom w:val="0"/>
          <w:divBdr>
            <w:top w:val="none" w:sz="0" w:space="0" w:color="auto"/>
            <w:left w:val="none" w:sz="0" w:space="0" w:color="auto"/>
            <w:bottom w:val="none" w:sz="0" w:space="0" w:color="auto"/>
            <w:right w:val="none" w:sz="0" w:space="0" w:color="auto"/>
          </w:divBdr>
        </w:div>
        <w:div w:id="715272759">
          <w:marLeft w:val="1080"/>
          <w:marRight w:val="0"/>
          <w:marTop w:val="100"/>
          <w:marBottom w:val="0"/>
          <w:divBdr>
            <w:top w:val="none" w:sz="0" w:space="0" w:color="auto"/>
            <w:left w:val="none" w:sz="0" w:space="0" w:color="auto"/>
            <w:bottom w:val="none" w:sz="0" w:space="0" w:color="auto"/>
            <w:right w:val="none" w:sz="0" w:space="0" w:color="auto"/>
          </w:divBdr>
        </w:div>
        <w:div w:id="1136871027">
          <w:marLeft w:val="1800"/>
          <w:marRight w:val="0"/>
          <w:marTop w:val="100"/>
          <w:marBottom w:val="0"/>
          <w:divBdr>
            <w:top w:val="none" w:sz="0" w:space="0" w:color="auto"/>
            <w:left w:val="none" w:sz="0" w:space="0" w:color="auto"/>
            <w:bottom w:val="none" w:sz="0" w:space="0" w:color="auto"/>
            <w:right w:val="none" w:sz="0" w:space="0" w:color="auto"/>
          </w:divBdr>
        </w:div>
        <w:div w:id="472646318">
          <w:marLeft w:val="1800"/>
          <w:marRight w:val="0"/>
          <w:marTop w:val="100"/>
          <w:marBottom w:val="0"/>
          <w:divBdr>
            <w:top w:val="none" w:sz="0" w:space="0" w:color="auto"/>
            <w:left w:val="none" w:sz="0" w:space="0" w:color="auto"/>
            <w:bottom w:val="none" w:sz="0" w:space="0" w:color="auto"/>
            <w:right w:val="none" w:sz="0" w:space="0" w:color="auto"/>
          </w:divBdr>
        </w:div>
      </w:divsChild>
    </w:div>
    <w:div w:id="1202741243">
      <w:bodyDiv w:val="1"/>
      <w:marLeft w:val="0"/>
      <w:marRight w:val="0"/>
      <w:marTop w:val="0"/>
      <w:marBottom w:val="0"/>
      <w:divBdr>
        <w:top w:val="none" w:sz="0" w:space="0" w:color="auto"/>
        <w:left w:val="none" w:sz="0" w:space="0" w:color="auto"/>
        <w:bottom w:val="none" w:sz="0" w:space="0" w:color="auto"/>
        <w:right w:val="none" w:sz="0" w:space="0" w:color="auto"/>
      </w:divBdr>
      <w:divsChild>
        <w:div w:id="1251432018">
          <w:marLeft w:val="547"/>
          <w:marRight w:val="0"/>
          <w:marTop w:val="96"/>
          <w:marBottom w:val="0"/>
          <w:divBdr>
            <w:top w:val="none" w:sz="0" w:space="0" w:color="auto"/>
            <w:left w:val="none" w:sz="0" w:space="0" w:color="auto"/>
            <w:bottom w:val="none" w:sz="0" w:space="0" w:color="auto"/>
            <w:right w:val="none" w:sz="0" w:space="0" w:color="auto"/>
          </w:divBdr>
        </w:div>
        <w:div w:id="1953979223">
          <w:marLeft w:val="547"/>
          <w:marRight w:val="0"/>
          <w:marTop w:val="96"/>
          <w:marBottom w:val="0"/>
          <w:divBdr>
            <w:top w:val="none" w:sz="0" w:space="0" w:color="auto"/>
            <w:left w:val="none" w:sz="0" w:space="0" w:color="auto"/>
            <w:bottom w:val="none" w:sz="0" w:space="0" w:color="auto"/>
            <w:right w:val="none" w:sz="0" w:space="0" w:color="auto"/>
          </w:divBdr>
        </w:div>
        <w:div w:id="606081011">
          <w:marLeft w:val="547"/>
          <w:marRight w:val="0"/>
          <w:marTop w:val="96"/>
          <w:marBottom w:val="0"/>
          <w:divBdr>
            <w:top w:val="none" w:sz="0" w:space="0" w:color="auto"/>
            <w:left w:val="none" w:sz="0" w:space="0" w:color="auto"/>
            <w:bottom w:val="none" w:sz="0" w:space="0" w:color="auto"/>
            <w:right w:val="none" w:sz="0" w:space="0" w:color="auto"/>
          </w:divBdr>
        </w:div>
        <w:div w:id="1689794435">
          <w:marLeft w:val="1166"/>
          <w:marRight w:val="0"/>
          <w:marTop w:val="82"/>
          <w:marBottom w:val="0"/>
          <w:divBdr>
            <w:top w:val="none" w:sz="0" w:space="0" w:color="auto"/>
            <w:left w:val="none" w:sz="0" w:space="0" w:color="auto"/>
            <w:bottom w:val="none" w:sz="0" w:space="0" w:color="auto"/>
            <w:right w:val="none" w:sz="0" w:space="0" w:color="auto"/>
          </w:divBdr>
        </w:div>
        <w:div w:id="25957194">
          <w:marLeft w:val="1166"/>
          <w:marRight w:val="0"/>
          <w:marTop w:val="82"/>
          <w:marBottom w:val="0"/>
          <w:divBdr>
            <w:top w:val="none" w:sz="0" w:space="0" w:color="auto"/>
            <w:left w:val="none" w:sz="0" w:space="0" w:color="auto"/>
            <w:bottom w:val="none" w:sz="0" w:space="0" w:color="auto"/>
            <w:right w:val="none" w:sz="0" w:space="0" w:color="auto"/>
          </w:divBdr>
        </w:div>
        <w:div w:id="1777014727">
          <w:marLeft w:val="547"/>
          <w:marRight w:val="0"/>
          <w:marTop w:val="96"/>
          <w:marBottom w:val="0"/>
          <w:divBdr>
            <w:top w:val="none" w:sz="0" w:space="0" w:color="auto"/>
            <w:left w:val="none" w:sz="0" w:space="0" w:color="auto"/>
            <w:bottom w:val="none" w:sz="0" w:space="0" w:color="auto"/>
            <w:right w:val="none" w:sz="0" w:space="0" w:color="auto"/>
          </w:divBdr>
        </w:div>
        <w:div w:id="63719769">
          <w:marLeft w:val="1166"/>
          <w:marRight w:val="0"/>
          <w:marTop w:val="82"/>
          <w:marBottom w:val="0"/>
          <w:divBdr>
            <w:top w:val="none" w:sz="0" w:space="0" w:color="auto"/>
            <w:left w:val="none" w:sz="0" w:space="0" w:color="auto"/>
            <w:bottom w:val="none" w:sz="0" w:space="0" w:color="auto"/>
            <w:right w:val="none" w:sz="0" w:space="0" w:color="auto"/>
          </w:divBdr>
        </w:div>
        <w:div w:id="1455637721">
          <w:marLeft w:val="1166"/>
          <w:marRight w:val="0"/>
          <w:marTop w:val="82"/>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912426">
      <w:bodyDiv w:val="1"/>
      <w:marLeft w:val="0"/>
      <w:marRight w:val="0"/>
      <w:marTop w:val="0"/>
      <w:marBottom w:val="0"/>
      <w:divBdr>
        <w:top w:val="none" w:sz="0" w:space="0" w:color="auto"/>
        <w:left w:val="none" w:sz="0" w:space="0" w:color="auto"/>
        <w:bottom w:val="none" w:sz="0" w:space="0" w:color="auto"/>
        <w:right w:val="none" w:sz="0" w:space="0" w:color="auto"/>
      </w:divBdr>
      <w:divsChild>
        <w:div w:id="900753537">
          <w:marLeft w:val="360"/>
          <w:marRight w:val="0"/>
          <w:marTop w:val="200"/>
          <w:marBottom w:val="0"/>
          <w:divBdr>
            <w:top w:val="none" w:sz="0" w:space="0" w:color="auto"/>
            <w:left w:val="none" w:sz="0" w:space="0" w:color="auto"/>
            <w:bottom w:val="none" w:sz="0" w:space="0" w:color="auto"/>
            <w:right w:val="none" w:sz="0" w:space="0" w:color="auto"/>
          </w:divBdr>
        </w:div>
        <w:div w:id="1309095082">
          <w:marLeft w:val="1080"/>
          <w:marRight w:val="0"/>
          <w:marTop w:val="100"/>
          <w:marBottom w:val="0"/>
          <w:divBdr>
            <w:top w:val="none" w:sz="0" w:space="0" w:color="auto"/>
            <w:left w:val="none" w:sz="0" w:space="0" w:color="auto"/>
            <w:bottom w:val="none" w:sz="0" w:space="0" w:color="auto"/>
            <w:right w:val="none" w:sz="0" w:space="0" w:color="auto"/>
          </w:divBdr>
        </w:div>
        <w:div w:id="766074630">
          <w:marLeft w:val="1080"/>
          <w:marRight w:val="0"/>
          <w:marTop w:val="100"/>
          <w:marBottom w:val="0"/>
          <w:divBdr>
            <w:top w:val="none" w:sz="0" w:space="0" w:color="auto"/>
            <w:left w:val="none" w:sz="0" w:space="0" w:color="auto"/>
            <w:bottom w:val="none" w:sz="0" w:space="0" w:color="auto"/>
            <w:right w:val="none" w:sz="0" w:space="0" w:color="auto"/>
          </w:divBdr>
        </w:div>
        <w:div w:id="310913345">
          <w:marLeft w:val="1080"/>
          <w:marRight w:val="0"/>
          <w:marTop w:val="100"/>
          <w:marBottom w:val="0"/>
          <w:divBdr>
            <w:top w:val="none" w:sz="0" w:space="0" w:color="auto"/>
            <w:left w:val="none" w:sz="0" w:space="0" w:color="auto"/>
            <w:bottom w:val="none" w:sz="0" w:space="0" w:color="auto"/>
            <w:right w:val="none" w:sz="0" w:space="0" w:color="auto"/>
          </w:divBdr>
        </w:div>
        <w:div w:id="518085156">
          <w:marLeft w:val="360"/>
          <w:marRight w:val="0"/>
          <w:marTop w:val="200"/>
          <w:marBottom w:val="0"/>
          <w:divBdr>
            <w:top w:val="none" w:sz="0" w:space="0" w:color="auto"/>
            <w:left w:val="none" w:sz="0" w:space="0" w:color="auto"/>
            <w:bottom w:val="none" w:sz="0" w:space="0" w:color="auto"/>
            <w:right w:val="none" w:sz="0" w:space="0" w:color="auto"/>
          </w:divBdr>
        </w:div>
        <w:div w:id="713702733">
          <w:marLeft w:val="1080"/>
          <w:marRight w:val="0"/>
          <w:marTop w:val="100"/>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4313172">
      <w:bodyDiv w:val="1"/>
      <w:marLeft w:val="0"/>
      <w:marRight w:val="0"/>
      <w:marTop w:val="0"/>
      <w:marBottom w:val="0"/>
      <w:divBdr>
        <w:top w:val="none" w:sz="0" w:space="0" w:color="auto"/>
        <w:left w:val="none" w:sz="0" w:space="0" w:color="auto"/>
        <w:bottom w:val="none" w:sz="0" w:space="0" w:color="auto"/>
        <w:right w:val="none" w:sz="0" w:space="0" w:color="auto"/>
      </w:divBdr>
      <w:divsChild>
        <w:div w:id="495851884">
          <w:marLeft w:val="1166"/>
          <w:marRight w:val="0"/>
          <w:marTop w:val="96"/>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8968402">
      <w:bodyDiv w:val="1"/>
      <w:marLeft w:val="0"/>
      <w:marRight w:val="0"/>
      <w:marTop w:val="0"/>
      <w:marBottom w:val="0"/>
      <w:divBdr>
        <w:top w:val="none" w:sz="0" w:space="0" w:color="auto"/>
        <w:left w:val="none" w:sz="0" w:space="0" w:color="auto"/>
        <w:bottom w:val="none" w:sz="0" w:space="0" w:color="auto"/>
        <w:right w:val="none" w:sz="0" w:space="0" w:color="auto"/>
      </w:divBdr>
      <w:divsChild>
        <w:div w:id="2055495363">
          <w:marLeft w:val="547"/>
          <w:marRight w:val="0"/>
          <w:marTop w:val="106"/>
          <w:marBottom w:val="0"/>
          <w:divBdr>
            <w:top w:val="none" w:sz="0" w:space="0" w:color="auto"/>
            <w:left w:val="none" w:sz="0" w:space="0" w:color="auto"/>
            <w:bottom w:val="none" w:sz="0" w:space="0" w:color="auto"/>
            <w:right w:val="none" w:sz="0" w:space="0" w:color="auto"/>
          </w:divBdr>
        </w:div>
        <w:div w:id="1315253377">
          <w:marLeft w:val="1166"/>
          <w:marRight w:val="0"/>
          <w:marTop w:val="91"/>
          <w:marBottom w:val="0"/>
          <w:divBdr>
            <w:top w:val="none" w:sz="0" w:space="0" w:color="auto"/>
            <w:left w:val="none" w:sz="0" w:space="0" w:color="auto"/>
            <w:bottom w:val="none" w:sz="0" w:space="0" w:color="auto"/>
            <w:right w:val="none" w:sz="0" w:space="0" w:color="auto"/>
          </w:divBdr>
        </w:div>
        <w:div w:id="74596976">
          <w:marLeft w:val="1166"/>
          <w:marRight w:val="0"/>
          <w:marTop w:val="91"/>
          <w:marBottom w:val="0"/>
          <w:divBdr>
            <w:top w:val="none" w:sz="0" w:space="0" w:color="auto"/>
            <w:left w:val="none" w:sz="0" w:space="0" w:color="auto"/>
            <w:bottom w:val="none" w:sz="0" w:space="0" w:color="auto"/>
            <w:right w:val="none" w:sz="0" w:space="0" w:color="auto"/>
          </w:divBdr>
        </w:div>
        <w:div w:id="2020890860">
          <w:marLeft w:val="1166"/>
          <w:marRight w:val="0"/>
          <w:marTop w:val="91"/>
          <w:marBottom w:val="0"/>
          <w:divBdr>
            <w:top w:val="none" w:sz="0" w:space="0" w:color="auto"/>
            <w:left w:val="none" w:sz="0" w:space="0" w:color="auto"/>
            <w:bottom w:val="none" w:sz="0" w:space="0" w:color="auto"/>
            <w:right w:val="none" w:sz="0" w:space="0" w:color="auto"/>
          </w:divBdr>
        </w:div>
        <w:div w:id="789936193">
          <w:marLeft w:val="1166"/>
          <w:marRight w:val="0"/>
          <w:marTop w:val="91"/>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996936">
      <w:bodyDiv w:val="1"/>
      <w:marLeft w:val="0"/>
      <w:marRight w:val="0"/>
      <w:marTop w:val="0"/>
      <w:marBottom w:val="0"/>
      <w:divBdr>
        <w:top w:val="none" w:sz="0" w:space="0" w:color="auto"/>
        <w:left w:val="none" w:sz="0" w:space="0" w:color="auto"/>
        <w:bottom w:val="none" w:sz="0" w:space="0" w:color="auto"/>
        <w:right w:val="none" w:sz="0" w:space="0" w:color="auto"/>
      </w:divBdr>
      <w:divsChild>
        <w:div w:id="892469837">
          <w:marLeft w:val="360"/>
          <w:marRight w:val="0"/>
          <w:marTop w:val="200"/>
          <w:marBottom w:val="0"/>
          <w:divBdr>
            <w:top w:val="none" w:sz="0" w:space="0" w:color="auto"/>
            <w:left w:val="none" w:sz="0" w:space="0" w:color="auto"/>
            <w:bottom w:val="none" w:sz="0" w:space="0" w:color="auto"/>
            <w:right w:val="none" w:sz="0" w:space="0" w:color="auto"/>
          </w:divBdr>
        </w:div>
        <w:div w:id="2014839581">
          <w:marLeft w:val="1080"/>
          <w:marRight w:val="0"/>
          <w:marTop w:val="1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2B2AD-A2AE-425E-A419-88BEC5D3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308</TotalTime>
  <Pages>7</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12</cp:revision>
  <cp:lastPrinted>2009-04-22T21:01:00Z</cp:lastPrinted>
  <dcterms:created xsi:type="dcterms:W3CDTF">2020-07-22T21:44:00Z</dcterms:created>
  <dcterms:modified xsi:type="dcterms:W3CDTF">2020-08-06T20:41:00Z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